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D1" w:rsidRDefault="00DC33D1">
      <w:pPr>
        <w:pStyle w:val="Nagwek4"/>
      </w:pPr>
      <w:r>
        <w:rPr>
          <w:i/>
          <w:color w:val="000000"/>
          <w:sz w:val="24"/>
          <w:szCs w:val="24"/>
        </w:rPr>
        <w:t xml:space="preserve">         Plan zajęć z biochemii w roku akademickim </w:t>
      </w:r>
      <w:r w:rsidR="00A477DF">
        <w:rPr>
          <w:i/>
          <w:color w:val="0000FF"/>
          <w:sz w:val="24"/>
          <w:szCs w:val="24"/>
        </w:rPr>
        <w:t>202</w:t>
      </w:r>
      <w:r w:rsidR="00855DC4">
        <w:rPr>
          <w:i/>
          <w:color w:val="0000FF"/>
          <w:sz w:val="24"/>
          <w:szCs w:val="24"/>
        </w:rPr>
        <w:t>3</w:t>
      </w:r>
      <w:r w:rsidR="00EB5FA8">
        <w:rPr>
          <w:i/>
          <w:color w:val="0000FF"/>
          <w:sz w:val="24"/>
          <w:szCs w:val="24"/>
        </w:rPr>
        <w:t>/202</w:t>
      </w:r>
      <w:r w:rsidR="00855DC4">
        <w:rPr>
          <w:i/>
          <w:color w:val="0000FF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 – semestr zimowy</w:t>
      </w:r>
    </w:p>
    <w:p w:rsidR="00DC33D1" w:rsidRDefault="00DC33D1">
      <w:r>
        <w:rPr>
          <w:b/>
          <w:color w:val="000000"/>
        </w:rPr>
        <w:t xml:space="preserve">         FARMACJA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419"/>
        <w:gridCol w:w="852"/>
        <w:gridCol w:w="762"/>
      </w:tblGrid>
      <w:tr w:rsidR="00DC33D1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pStyle w:val="Nagwek1"/>
              <w:jc w:val="center"/>
              <w:rPr>
                <w:sz w:val="22"/>
                <w:szCs w:val="22"/>
              </w:rPr>
            </w:pPr>
            <w:r w:rsidRPr="00A92B1B">
              <w:rPr>
                <w:color w:val="000000"/>
                <w:sz w:val="22"/>
                <w:szCs w:val="22"/>
              </w:rPr>
              <w:t>Numer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Dzień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Organizacyjne – nie zaliczane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855DC4" w:rsidP="00BC20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Budowa i właściwości aminokwasów i białek.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Oznaczanie punktu izoelektrycznego kazeiny, denaturacja cieplna i koagulacja białek, reakcja biuretowa, ochronne działanie koloidów, reakcja aminokwasów z </w:t>
            </w:r>
            <w:proofErr w:type="spellStart"/>
            <w:r w:rsidRPr="00A92B1B">
              <w:rPr>
                <w:i/>
                <w:sz w:val="22"/>
                <w:szCs w:val="22"/>
              </w:rPr>
              <w:t>ninhydryną</w:t>
            </w:r>
            <w:proofErr w:type="spellEnd"/>
            <w:r w:rsidRPr="00A92B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855DC4">
              <w:rPr>
                <w:b/>
                <w:color w:val="000000"/>
                <w:sz w:val="22"/>
                <w:szCs w:val="22"/>
              </w:rPr>
              <w:t>0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eastAsia="en-US"/>
              </w:rPr>
              <w:t xml:space="preserve">Enzymy – mechanizm działania, kinetyka reakcji i regulacja aktywności.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Ocena wpływu aktywatorów i inhibitorów, </w:t>
            </w:r>
            <w:proofErr w:type="spellStart"/>
            <w:r w:rsidRPr="00A92B1B">
              <w:rPr>
                <w:i/>
                <w:sz w:val="22"/>
                <w:szCs w:val="22"/>
              </w:rPr>
              <w:t>pH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i temperatury na aktywność amylazy ślinowej metodą punktu </w:t>
            </w:r>
            <w:proofErr w:type="spellStart"/>
            <w:r w:rsidRPr="00A92B1B">
              <w:rPr>
                <w:i/>
                <w:sz w:val="22"/>
                <w:szCs w:val="22"/>
              </w:rPr>
              <w:t>achromowego</w:t>
            </w:r>
            <w:proofErr w:type="spellEnd"/>
            <w:r w:rsidRPr="00A92B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855DC4">
              <w:rPr>
                <w:b/>
                <w:color w:val="000000"/>
                <w:sz w:val="22"/>
                <w:szCs w:val="22"/>
              </w:rPr>
              <w:t>7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Cykl Krebsa. Utlenianie biologiczne.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Wykrywanie aktywności oksydazy cytochromowej oraz katalazy.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855DC4">
              <w:rPr>
                <w:b/>
                <w:color w:val="000000"/>
                <w:sz w:val="22"/>
                <w:szCs w:val="22"/>
              </w:rPr>
              <w:t>4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Białka pokarmowe. Trawienie białek. Katabolizm białek i aminokwasów. 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Oznaczanie stężenia mocznika w surowicy i moczu. Oznaczanie aktywności aminotransferazy </w:t>
            </w:r>
            <w:proofErr w:type="spellStart"/>
            <w:r w:rsidRPr="00A92B1B">
              <w:rPr>
                <w:i/>
                <w:sz w:val="22"/>
                <w:szCs w:val="22"/>
              </w:rPr>
              <w:t>asparaginianowej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(AST).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855D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843AE">
              <w:rPr>
                <w:b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Ćwiczenia wyrównawcze   1, 2, 3, 4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3549FD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1</w:t>
            </w:r>
            <w:r w:rsidR="00855DC4">
              <w:rPr>
                <w:b/>
                <w:color w:val="0000FF"/>
                <w:sz w:val="22"/>
                <w:szCs w:val="22"/>
              </w:rPr>
              <w:t>4</w:t>
            </w:r>
            <w:r w:rsidR="007843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FF"/>
                <w:sz w:val="22"/>
                <w:szCs w:val="22"/>
              </w:rPr>
              <w:t>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2C4D36">
            <w:pPr>
              <w:pStyle w:val="Tekstpodstawowy"/>
              <w:spacing w:after="0" w:line="240" w:lineRule="auto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Węglowodany pokarmowe. Trawienie i wchłanianie węglowodanów. Metabolizm glikogenu.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 xml:space="preserve">Ćw. </w:t>
            </w:r>
            <w:r w:rsidRPr="00A92B1B">
              <w:rPr>
                <w:i/>
                <w:sz w:val="22"/>
                <w:szCs w:val="22"/>
              </w:rPr>
              <w:t>praktyczne</w:t>
            </w:r>
            <w:r w:rsidRPr="00A92B1B">
              <w:rPr>
                <w:i/>
                <w:color w:val="000000"/>
                <w:sz w:val="22"/>
                <w:szCs w:val="22"/>
              </w:rPr>
              <w:t xml:space="preserve">: Wykrywanie cukrów w produktach spożywczych. Hydroliza kwaśna skrobi.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C187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855DC4">
              <w:rPr>
                <w:b/>
                <w:color w:val="000000"/>
                <w:sz w:val="22"/>
                <w:szCs w:val="22"/>
              </w:rPr>
              <w:t>7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3C694B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="00BC204F" w:rsidRPr="00A92B1B">
              <w:rPr>
                <w:b/>
                <w:color w:val="000000"/>
                <w:sz w:val="22"/>
                <w:szCs w:val="22"/>
                <w:lang w:val="en-US"/>
              </w:rPr>
              <w:t>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Metabolizm glukozy.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Test tolerancji glukozy.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11437E">
              <w:rPr>
                <w:b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Metabolizm heksoz.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>Ćw. praktyczne: Obciążenie sacharozą.</w:t>
            </w:r>
            <w:r w:rsidR="00527A38" w:rsidRPr="00A92B1B">
              <w:rPr>
                <w:i/>
                <w:color w:val="000000"/>
                <w:sz w:val="22"/>
                <w:szCs w:val="22"/>
              </w:rPr>
              <w:t xml:space="preserve"> Hydroliza enzymatyczna sacharozy.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C187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603EF1">
              <w:rPr>
                <w:b/>
                <w:color w:val="000000"/>
                <w:sz w:val="22"/>
                <w:szCs w:val="22"/>
              </w:rPr>
              <w:t>4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3C694B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605B28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Lipidy pokarmowe. Trawienie i wchłanianie lipidów. Lipoproteiny osocza.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>Ćw. praktyczne:</w:t>
            </w:r>
            <w:r w:rsidR="00527A38" w:rsidRPr="00A92B1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i/>
                <w:sz w:val="22"/>
                <w:szCs w:val="22"/>
              </w:rPr>
              <w:t xml:space="preserve">Oznaczanie cholesterolu całkowitego oraz stężenia </w:t>
            </w:r>
            <w:proofErr w:type="spellStart"/>
            <w:r w:rsidRPr="00A92B1B">
              <w:rPr>
                <w:i/>
                <w:sz w:val="22"/>
                <w:szCs w:val="22"/>
              </w:rPr>
              <w:t>tri</w:t>
            </w:r>
            <w:r w:rsidR="003B3397" w:rsidRPr="00A92B1B">
              <w:rPr>
                <w:i/>
                <w:sz w:val="22"/>
                <w:szCs w:val="22"/>
              </w:rPr>
              <w:t>acylogliceroli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w surowicy.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03EF1" w:rsidP="00A4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43AE">
              <w:rPr>
                <w:b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Ćwiczenia wyrównawcze   5, 6, 7, 8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0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</w:t>
            </w:r>
            <w:r w:rsidR="007843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FF"/>
                <w:sz w:val="22"/>
                <w:szCs w:val="22"/>
              </w:rPr>
              <w:t>XII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1613C6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Biosynteza kwasów tłuszczowych. Metabolizm </w:t>
            </w:r>
            <w:proofErr w:type="spellStart"/>
            <w:r w:rsidRPr="00A92B1B">
              <w:rPr>
                <w:b/>
                <w:color w:val="000000"/>
                <w:sz w:val="22"/>
                <w:szCs w:val="22"/>
              </w:rPr>
              <w:t>triacylogliceroli</w:t>
            </w:r>
            <w:proofErr w:type="spellEnd"/>
            <w:r w:rsidRPr="00A92B1B">
              <w:rPr>
                <w:b/>
                <w:color w:val="000000"/>
                <w:sz w:val="22"/>
                <w:szCs w:val="22"/>
              </w:rPr>
              <w:t>.</w:t>
            </w:r>
            <w:r w:rsidR="001613C6">
              <w:rPr>
                <w:sz w:val="22"/>
                <w:szCs w:val="22"/>
              </w:rPr>
              <w:t xml:space="preserve">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Badanie właściwości tłuszczów - zmydlanie tłuszczów, wykrywanie wiązań wielokrotnych w tłuszczach nienasyconych, badanie właściwości zjełczałego tłuszczu.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603EF1">
              <w:rPr>
                <w:b/>
                <w:color w:val="000000"/>
                <w:sz w:val="22"/>
                <w:szCs w:val="22"/>
              </w:rPr>
              <w:t>2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XII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51DA7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Utlenianie kwasów tłuszczowych. </w:t>
            </w:r>
            <w:proofErr w:type="spellStart"/>
            <w:r w:rsidRPr="00A92B1B">
              <w:rPr>
                <w:b/>
                <w:color w:val="000000"/>
                <w:sz w:val="22"/>
                <w:szCs w:val="22"/>
              </w:rPr>
              <w:t>Ketogeneza</w:t>
            </w:r>
            <w:proofErr w:type="spellEnd"/>
            <w:r w:rsidRPr="00A92B1B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C204F" w:rsidRPr="00A92B1B" w:rsidRDefault="28100D3B" w:rsidP="00B51DA7">
            <w:pPr>
              <w:rPr>
                <w:sz w:val="22"/>
                <w:szCs w:val="22"/>
              </w:rPr>
            </w:pPr>
            <w:r w:rsidRPr="28100D3B">
              <w:rPr>
                <w:i/>
                <w:iCs/>
                <w:sz w:val="22"/>
                <w:szCs w:val="22"/>
              </w:rPr>
              <w:t>Ćw. praktyczne: Oznaczanie liczby kwasowej w oleju świeżym i zjełczałym.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603EF1">
              <w:rPr>
                <w:b/>
                <w:color w:val="000000"/>
                <w:sz w:val="22"/>
                <w:szCs w:val="22"/>
              </w:rPr>
              <w:t>5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XII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Synteza, transport i wydalanie cholesterolu.</w:t>
            </w:r>
          </w:p>
          <w:p w:rsidR="00BC204F" w:rsidRPr="00A92B1B" w:rsidRDefault="28100D3B">
            <w:pPr>
              <w:rPr>
                <w:sz w:val="22"/>
                <w:szCs w:val="22"/>
              </w:rPr>
            </w:pPr>
            <w:r w:rsidRPr="28100D3B">
              <w:rPr>
                <w:i/>
                <w:iCs/>
                <w:sz w:val="22"/>
                <w:szCs w:val="22"/>
              </w:rPr>
              <w:t>Ćw. praktyczne: Badanie właściwości cholesterolu oraz kwasów żółciowych -</w:t>
            </w:r>
            <w:r w:rsidRPr="28100D3B">
              <w:rPr>
                <w:sz w:val="22"/>
                <w:szCs w:val="22"/>
              </w:rPr>
              <w:t xml:space="preserve"> </w:t>
            </w:r>
            <w:r w:rsidRPr="28100D3B">
              <w:rPr>
                <w:i/>
                <w:iCs/>
                <w:sz w:val="22"/>
                <w:szCs w:val="22"/>
              </w:rPr>
              <w:t xml:space="preserve">próba </w:t>
            </w:r>
            <w:proofErr w:type="spellStart"/>
            <w:r w:rsidRPr="28100D3B">
              <w:rPr>
                <w:i/>
                <w:iCs/>
                <w:sz w:val="22"/>
                <w:szCs w:val="22"/>
              </w:rPr>
              <w:t>Salkowskiego</w:t>
            </w:r>
            <w:proofErr w:type="spellEnd"/>
            <w:r w:rsidRPr="28100D3B">
              <w:rPr>
                <w:i/>
                <w:iCs/>
                <w:sz w:val="22"/>
                <w:szCs w:val="22"/>
              </w:rPr>
              <w:t xml:space="preserve">, próba Haya, próba </w:t>
            </w:r>
            <w:proofErr w:type="spellStart"/>
            <w:r w:rsidRPr="28100D3B">
              <w:rPr>
                <w:i/>
                <w:iCs/>
                <w:sz w:val="22"/>
                <w:szCs w:val="22"/>
              </w:rPr>
              <w:t>Pattenkofera</w:t>
            </w:r>
            <w:proofErr w:type="spellEnd"/>
            <w:r w:rsidRPr="28100D3B">
              <w:rPr>
                <w:i/>
                <w:iCs/>
                <w:sz w:val="22"/>
                <w:szCs w:val="22"/>
              </w:rPr>
              <w:t xml:space="preserve"> 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845BEE" w:rsidP="00BC20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XII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800080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800080"/>
                <w:sz w:val="22"/>
                <w:szCs w:val="22"/>
              </w:rPr>
              <w:t xml:space="preserve">PRZERWA ŚWIĄTECZNA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Metabolizm porfiryn. Barwniki żółciowe. Gospodarka żelazowa ustroju. </w:t>
            </w:r>
          </w:p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Diagnostyka żółtaczek - oznaczanie stężenia bilirubiny całkowitej i bezpośredniej w surowicy. Próba Ehrlicha.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03EF1" w:rsidP="00BC2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Witaminy. </w:t>
            </w:r>
            <w:r w:rsidRPr="00A92B1B">
              <w:rPr>
                <w:i/>
                <w:sz w:val="22"/>
                <w:szCs w:val="22"/>
              </w:rPr>
              <w:t>Ćw. praktyczne: Oznaczanie stężenia witaminy C w preparatach farmaceutycznych.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603EF1">
              <w:rPr>
                <w:b/>
                <w:color w:val="000000"/>
                <w:sz w:val="22"/>
                <w:szCs w:val="22"/>
              </w:rPr>
              <w:t>2</w:t>
            </w:r>
            <w:r w:rsidR="007843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pStyle w:val="Nagwek1"/>
              <w:rPr>
                <w:sz w:val="22"/>
                <w:szCs w:val="22"/>
              </w:rPr>
            </w:pPr>
            <w:r w:rsidRPr="00A92B1B">
              <w:rPr>
                <w:color w:val="0000FF"/>
                <w:sz w:val="22"/>
                <w:szCs w:val="22"/>
              </w:rPr>
              <w:t>Ćwiczenia wyrównawcze  9, 10, 11, 12, 13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0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</w:t>
            </w:r>
            <w:r w:rsidR="007843A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204F" w:rsidRPr="00A92B1B">
              <w:rPr>
                <w:b/>
                <w:color w:val="0000FF"/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Pr="00A92B1B">
              <w:rPr>
                <w:b/>
                <w:color w:val="0000FF"/>
                <w:sz w:val="22"/>
                <w:szCs w:val="22"/>
              </w:rPr>
              <w:t xml:space="preserve"> 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Ostatnie ćwiczenie wyrównawcze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2</w:t>
            </w:r>
            <w:r w:rsidR="00603EF1">
              <w:rPr>
                <w:b/>
                <w:color w:val="0000FF"/>
                <w:sz w:val="22"/>
                <w:szCs w:val="22"/>
              </w:rPr>
              <w:t>6</w:t>
            </w:r>
            <w:r w:rsidR="007843A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A92B1B">
              <w:rPr>
                <w:b/>
                <w:color w:val="0000FF"/>
                <w:sz w:val="22"/>
                <w:szCs w:val="22"/>
              </w:rPr>
              <w:t>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8080"/>
                <w:sz w:val="22"/>
                <w:szCs w:val="22"/>
                <w:lang w:val="it-IT"/>
              </w:rPr>
              <w:t xml:space="preserve">Semestr                             </w:t>
            </w:r>
            <w:r w:rsidR="00845BEE">
              <w:rPr>
                <w:b/>
                <w:color w:val="008080"/>
                <w:sz w:val="22"/>
                <w:szCs w:val="22"/>
                <w:lang w:val="it-IT"/>
              </w:rPr>
              <w:t>3</w:t>
            </w:r>
            <w:r w:rsidR="007843AE">
              <w:rPr>
                <w:b/>
                <w:color w:val="008080"/>
                <w:sz w:val="22"/>
                <w:szCs w:val="22"/>
                <w:lang w:val="it-IT"/>
              </w:rPr>
              <w:t xml:space="preserve"> </w:t>
            </w:r>
            <w:r w:rsidR="00845BEE">
              <w:rPr>
                <w:b/>
                <w:color w:val="008080"/>
                <w:sz w:val="22"/>
                <w:szCs w:val="22"/>
                <w:lang w:val="it-IT"/>
              </w:rPr>
              <w:t>X 2023  - 11 II 2024</w:t>
            </w:r>
            <w:r w:rsidRPr="00A92B1B">
              <w:rPr>
                <w:b/>
                <w:color w:val="008080"/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8080"/>
                <w:sz w:val="22"/>
                <w:szCs w:val="22"/>
              </w:rPr>
              <w:t xml:space="preserve">Dni Rektorskie                       </w:t>
            </w:r>
            <w:r w:rsidR="00AC2FC7">
              <w:rPr>
                <w:b/>
                <w:color w:val="008080"/>
                <w:sz w:val="22"/>
                <w:szCs w:val="22"/>
              </w:rPr>
              <w:t>2 X, 31 X</w:t>
            </w:r>
            <w:r w:rsidRPr="00A92B1B">
              <w:rPr>
                <w:b/>
                <w:color w:val="008080"/>
                <w:sz w:val="22"/>
                <w:szCs w:val="22"/>
              </w:rPr>
              <w:t xml:space="preserve">   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D10F0" w:rsidRPr="00ED10F0" w:rsidRDefault="00ED10F0" w:rsidP="00ED10F0">
      <w:pPr>
        <w:snapToGrid w:val="0"/>
        <w:spacing w:before="120"/>
        <w:ind w:left="454"/>
      </w:pPr>
      <w:r>
        <w:rPr>
          <w:rFonts w:eastAsia="MS Mincho"/>
          <w:kern w:val="2"/>
        </w:rPr>
        <w:t>*</w:t>
      </w:r>
      <w:r w:rsidR="009157FA" w:rsidRPr="00ED10F0">
        <w:rPr>
          <w:rFonts w:eastAsia="MS Mincho"/>
          <w:kern w:val="2"/>
        </w:rPr>
        <w:t>Ćwiczenia</w:t>
      </w:r>
      <w:r w:rsidR="009157FA" w:rsidRPr="00ED10F0">
        <w:t xml:space="preserve"> będą odbywać się w salach ćwiczeniowych Zakładu Biochemii znajdują</w:t>
      </w:r>
      <w:r w:rsidRPr="00ED10F0">
        <w:t>cych</w:t>
      </w:r>
      <w:r w:rsidR="009157FA" w:rsidRPr="00ED10F0">
        <w:t xml:space="preserve"> się</w:t>
      </w:r>
    </w:p>
    <w:p w:rsidR="00715966" w:rsidRPr="001613C6" w:rsidRDefault="009157FA" w:rsidP="001613C6">
      <w:pPr>
        <w:snapToGrid w:val="0"/>
        <w:ind w:left="454"/>
      </w:pPr>
      <w:r w:rsidRPr="00ED10F0">
        <w:t xml:space="preserve"> </w:t>
      </w:r>
      <w:r w:rsidR="00ED10F0" w:rsidRPr="00ED10F0">
        <w:t>w </w:t>
      </w:r>
      <w:r w:rsidRPr="00ED10F0">
        <w:t>budynku K na III piętrze.</w:t>
      </w:r>
    </w:p>
    <w:sectPr w:rsidR="00715966" w:rsidRPr="001613C6" w:rsidSect="001613C6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62" w:rsidRDefault="006C5F62" w:rsidP="001613C6">
      <w:r>
        <w:separator/>
      </w:r>
    </w:p>
  </w:endnote>
  <w:endnote w:type="continuationSeparator" w:id="0">
    <w:p w:rsidR="006C5F62" w:rsidRDefault="006C5F62" w:rsidP="001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62" w:rsidRDefault="006C5F62" w:rsidP="001613C6">
      <w:r>
        <w:separator/>
      </w:r>
    </w:p>
  </w:footnote>
  <w:footnote w:type="continuationSeparator" w:id="0">
    <w:p w:rsidR="006C5F62" w:rsidRDefault="006C5F62" w:rsidP="0016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D"/>
    <w:rsid w:val="00005937"/>
    <w:rsid w:val="0006432C"/>
    <w:rsid w:val="00094AB3"/>
    <w:rsid w:val="0011437E"/>
    <w:rsid w:val="001613C6"/>
    <w:rsid w:val="00200497"/>
    <w:rsid w:val="00212098"/>
    <w:rsid w:val="00236E39"/>
    <w:rsid w:val="002562FA"/>
    <w:rsid w:val="002C4D36"/>
    <w:rsid w:val="002F482F"/>
    <w:rsid w:val="003549FD"/>
    <w:rsid w:val="00361B3B"/>
    <w:rsid w:val="003B3397"/>
    <w:rsid w:val="003C694B"/>
    <w:rsid w:val="003E24C3"/>
    <w:rsid w:val="00417247"/>
    <w:rsid w:val="00443C58"/>
    <w:rsid w:val="00460131"/>
    <w:rsid w:val="0051599A"/>
    <w:rsid w:val="00524331"/>
    <w:rsid w:val="00527A38"/>
    <w:rsid w:val="00603EF1"/>
    <w:rsid w:val="00605B28"/>
    <w:rsid w:val="00636FF6"/>
    <w:rsid w:val="00674184"/>
    <w:rsid w:val="006C187F"/>
    <w:rsid w:val="006C33E6"/>
    <w:rsid w:val="006C5F62"/>
    <w:rsid w:val="006E2F3D"/>
    <w:rsid w:val="00715966"/>
    <w:rsid w:val="007843AE"/>
    <w:rsid w:val="00794ACB"/>
    <w:rsid w:val="008016C0"/>
    <w:rsid w:val="00845BEE"/>
    <w:rsid w:val="00855DC4"/>
    <w:rsid w:val="00865086"/>
    <w:rsid w:val="00890098"/>
    <w:rsid w:val="008F53AA"/>
    <w:rsid w:val="0091496F"/>
    <w:rsid w:val="009157FA"/>
    <w:rsid w:val="009165DB"/>
    <w:rsid w:val="009E1EC7"/>
    <w:rsid w:val="00A477DF"/>
    <w:rsid w:val="00A92B1B"/>
    <w:rsid w:val="00A945ED"/>
    <w:rsid w:val="00A972B9"/>
    <w:rsid w:val="00AA10E2"/>
    <w:rsid w:val="00AC2FC7"/>
    <w:rsid w:val="00B51DA7"/>
    <w:rsid w:val="00B715F1"/>
    <w:rsid w:val="00BC204F"/>
    <w:rsid w:val="00C71481"/>
    <w:rsid w:val="00CC70BA"/>
    <w:rsid w:val="00D22961"/>
    <w:rsid w:val="00D768DD"/>
    <w:rsid w:val="00DB0E6C"/>
    <w:rsid w:val="00DC33D1"/>
    <w:rsid w:val="00DC453E"/>
    <w:rsid w:val="00E4170F"/>
    <w:rsid w:val="00EB5FA8"/>
    <w:rsid w:val="00ED10F0"/>
    <w:rsid w:val="00EE553D"/>
    <w:rsid w:val="00F06029"/>
    <w:rsid w:val="00F77E3A"/>
    <w:rsid w:val="00FC63BB"/>
    <w:rsid w:val="281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D2DA9"/>
  <w15:docId w15:val="{31C6A8CF-F4C6-42AF-83F0-A67B4C38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C5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3C58"/>
    <w:pPr>
      <w:keepNext/>
      <w:numPr>
        <w:numId w:val="1"/>
      </w:numPr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443C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3C58"/>
  </w:style>
  <w:style w:type="character" w:customStyle="1" w:styleId="WW8Num1z1">
    <w:name w:val="WW8Num1z1"/>
    <w:rsid w:val="00443C58"/>
  </w:style>
  <w:style w:type="character" w:customStyle="1" w:styleId="WW8Num1z2">
    <w:name w:val="WW8Num1z2"/>
    <w:rsid w:val="00443C58"/>
  </w:style>
  <w:style w:type="character" w:customStyle="1" w:styleId="WW8Num1z3">
    <w:name w:val="WW8Num1z3"/>
    <w:rsid w:val="00443C58"/>
  </w:style>
  <w:style w:type="character" w:customStyle="1" w:styleId="WW8Num1z4">
    <w:name w:val="WW8Num1z4"/>
    <w:rsid w:val="00443C58"/>
  </w:style>
  <w:style w:type="character" w:customStyle="1" w:styleId="WW8Num1z5">
    <w:name w:val="WW8Num1z5"/>
    <w:rsid w:val="00443C58"/>
  </w:style>
  <w:style w:type="character" w:customStyle="1" w:styleId="WW8Num1z6">
    <w:name w:val="WW8Num1z6"/>
    <w:rsid w:val="00443C58"/>
  </w:style>
  <w:style w:type="character" w:customStyle="1" w:styleId="WW8Num1z7">
    <w:name w:val="WW8Num1z7"/>
    <w:rsid w:val="00443C58"/>
  </w:style>
  <w:style w:type="character" w:customStyle="1" w:styleId="WW8Num1z8">
    <w:name w:val="WW8Num1z8"/>
    <w:rsid w:val="00443C58"/>
  </w:style>
  <w:style w:type="character" w:customStyle="1" w:styleId="Domylnaczcionkaakapitu1">
    <w:name w:val="Domyślna czcionka akapitu1"/>
    <w:rsid w:val="00443C58"/>
  </w:style>
  <w:style w:type="character" w:customStyle="1" w:styleId="Nagwek1Znak">
    <w:name w:val="Nagłówek 1 Znak"/>
    <w:rsid w:val="00443C58"/>
    <w:rPr>
      <w:b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443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43C58"/>
    <w:pPr>
      <w:spacing w:after="140" w:line="276" w:lineRule="auto"/>
    </w:pPr>
  </w:style>
  <w:style w:type="paragraph" w:styleId="Lista">
    <w:name w:val="List"/>
    <w:basedOn w:val="Tekstpodstawowy"/>
    <w:rsid w:val="00443C58"/>
    <w:rPr>
      <w:rFonts w:cs="Arial"/>
    </w:rPr>
  </w:style>
  <w:style w:type="paragraph" w:styleId="Legenda">
    <w:name w:val="caption"/>
    <w:basedOn w:val="Normalny"/>
    <w:qFormat/>
    <w:rsid w:val="00443C5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43C58"/>
    <w:pPr>
      <w:suppressLineNumbers/>
    </w:pPr>
    <w:rPr>
      <w:rFonts w:cs="Arial"/>
    </w:rPr>
  </w:style>
  <w:style w:type="paragraph" w:customStyle="1" w:styleId="Days">
    <w:name w:val="Days"/>
    <w:basedOn w:val="Normalny"/>
    <w:rsid w:val="00443C58"/>
    <w:pPr>
      <w:spacing w:before="40"/>
      <w:jc w:val="center"/>
    </w:pPr>
    <w:rPr>
      <w:rFonts w:ascii="Georgia" w:eastAsia="MS Gothic" w:hAnsi="Georgia"/>
      <w:color w:val="44546A"/>
      <w:sz w:val="20"/>
      <w:szCs w:val="20"/>
      <w:lang w:val="en-US" w:eastAsia="ja-JP"/>
    </w:rPr>
  </w:style>
  <w:style w:type="paragraph" w:customStyle="1" w:styleId="Dates">
    <w:name w:val="Dates"/>
    <w:basedOn w:val="Normalny"/>
    <w:rsid w:val="00443C58"/>
    <w:pPr>
      <w:spacing w:before="40" w:after="40"/>
      <w:jc w:val="center"/>
    </w:pPr>
    <w:rPr>
      <w:rFonts w:ascii="Calibri" w:eastAsia="MS Mincho" w:hAnsi="Calibri"/>
      <w:color w:val="44546A"/>
      <w:sz w:val="18"/>
      <w:szCs w:val="18"/>
      <w:lang w:val="en-US" w:eastAsia="ja-JP"/>
    </w:rPr>
  </w:style>
  <w:style w:type="paragraph" w:customStyle="1" w:styleId="Months">
    <w:name w:val="Months"/>
    <w:basedOn w:val="Normalny"/>
    <w:rsid w:val="00443C58"/>
    <w:pPr>
      <w:spacing w:line="228" w:lineRule="auto"/>
      <w:ind w:left="101"/>
    </w:pPr>
    <w:rPr>
      <w:rFonts w:ascii="Georgia" w:eastAsia="MS Gothic" w:hAnsi="Georgia"/>
      <w:b/>
      <w:bCs/>
      <w:caps/>
      <w:color w:val="44546A"/>
      <w:spacing w:val="2"/>
      <w:kern w:val="2"/>
      <w:sz w:val="21"/>
      <w:szCs w:val="21"/>
      <w:lang w:val="en-US" w:eastAsia="ja-JP"/>
    </w:rPr>
  </w:style>
  <w:style w:type="paragraph" w:customStyle="1" w:styleId="Zawartotabeli">
    <w:name w:val="Zawartość tabeli"/>
    <w:basedOn w:val="Normalny"/>
    <w:rsid w:val="00443C58"/>
    <w:pPr>
      <w:suppressLineNumbers/>
    </w:pPr>
  </w:style>
  <w:style w:type="paragraph" w:customStyle="1" w:styleId="Nagwektabeli">
    <w:name w:val="Nagłówek tabeli"/>
    <w:basedOn w:val="Zawartotabeli"/>
    <w:rsid w:val="00443C58"/>
    <w:pPr>
      <w:jc w:val="center"/>
    </w:pPr>
    <w:rPr>
      <w:b/>
      <w:bCs/>
    </w:rPr>
  </w:style>
  <w:style w:type="character" w:customStyle="1" w:styleId="spec">
    <w:name w:val="spec"/>
    <w:basedOn w:val="Domylnaczcionkaakapitu"/>
    <w:rsid w:val="00715966"/>
  </w:style>
  <w:style w:type="character" w:styleId="Hipercze">
    <w:name w:val="Hyperlink"/>
    <w:uiPriority w:val="99"/>
    <w:semiHidden/>
    <w:unhideWhenUsed/>
    <w:rsid w:val="00715966"/>
    <w:rPr>
      <w:color w:val="0000FF"/>
      <w:u w:val="single"/>
    </w:rPr>
  </w:style>
  <w:style w:type="character" w:customStyle="1" w:styleId="button">
    <w:name w:val="button"/>
    <w:basedOn w:val="Domylnaczcionkaakapitu"/>
    <w:rsid w:val="00715966"/>
  </w:style>
  <w:style w:type="character" w:customStyle="1" w:styleId="feast">
    <w:name w:val="feast"/>
    <w:basedOn w:val="Domylnaczcionkaakapitu"/>
    <w:rsid w:val="00715966"/>
  </w:style>
  <w:style w:type="character" w:customStyle="1" w:styleId="feastfree">
    <w:name w:val="feast_free"/>
    <w:basedOn w:val="Domylnaczcionkaakapitu"/>
    <w:rsid w:val="00715966"/>
  </w:style>
  <w:style w:type="character" w:customStyle="1" w:styleId="today">
    <w:name w:val="today"/>
    <w:basedOn w:val="Domylnaczcionkaakapitu"/>
    <w:rsid w:val="00715966"/>
  </w:style>
  <w:style w:type="character" w:customStyle="1" w:styleId="dim">
    <w:name w:val="dim"/>
    <w:basedOn w:val="Domylnaczcionkaakapitu"/>
    <w:rsid w:val="00715966"/>
  </w:style>
  <w:style w:type="paragraph" w:styleId="Nagwek">
    <w:name w:val="header"/>
    <w:basedOn w:val="Normalny"/>
    <w:link w:val="NagwekZnak"/>
    <w:uiPriority w:val="99"/>
    <w:semiHidden/>
    <w:unhideWhenUsed/>
    <w:rsid w:val="00161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3C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61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39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z biochemii w roku akademickim 2015/2016 – semestr letni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z biochemii w roku akademickim 2015/2016 – semestr letni</dc:title>
  <dc:creator>Zakład Biochemii i Chemii</dc:creator>
  <cp:lastModifiedBy>Zuzanna Marcinowska</cp:lastModifiedBy>
  <cp:revision>6</cp:revision>
  <cp:lastPrinted>1995-11-22T01:41:00Z</cp:lastPrinted>
  <dcterms:created xsi:type="dcterms:W3CDTF">2023-07-18T08:22:00Z</dcterms:created>
  <dcterms:modified xsi:type="dcterms:W3CDTF">2023-10-05T10:09:00Z</dcterms:modified>
</cp:coreProperties>
</file>