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B1" w:rsidRDefault="00CB7DB1" w:rsidP="00126049">
      <w:pPr>
        <w:rPr>
          <w:rFonts w:ascii="Times New Roman" w:hAnsi="Times New Roman" w:cs="Times New Roman"/>
          <w:sz w:val="22"/>
          <w:szCs w:val="22"/>
        </w:rPr>
      </w:pPr>
    </w:p>
    <w:p w:rsidR="00633562" w:rsidRDefault="00650D93" w:rsidP="00633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562">
        <w:rPr>
          <w:rFonts w:ascii="Times New Roman" w:hAnsi="Times New Roman" w:cs="Times New Roman"/>
          <w:sz w:val="28"/>
          <w:szCs w:val="28"/>
        </w:rPr>
        <w:t xml:space="preserve">Program ćwiczeń z </w:t>
      </w:r>
      <w:r w:rsidR="00785F73" w:rsidRPr="00633562">
        <w:rPr>
          <w:rFonts w:ascii="Times New Roman" w:hAnsi="Times New Roman" w:cs="Times New Roman"/>
          <w:sz w:val="28"/>
          <w:szCs w:val="28"/>
        </w:rPr>
        <w:t xml:space="preserve">przedmiotu: </w:t>
      </w:r>
      <w:r w:rsidR="00785F73" w:rsidRPr="00633562">
        <w:rPr>
          <w:rFonts w:ascii="Times New Roman" w:hAnsi="Times New Roman" w:cs="Times New Roman"/>
          <w:b/>
          <w:bCs/>
          <w:sz w:val="28"/>
          <w:szCs w:val="28"/>
        </w:rPr>
        <w:t>Mikrobiologia</w:t>
      </w:r>
      <w:r w:rsidRPr="00633562">
        <w:rPr>
          <w:rFonts w:ascii="Times New Roman" w:hAnsi="Times New Roman" w:cs="Times New Roman"/>
          <w:sz w:val="28"/>
          <w:szCs w:val="28"/>
        </w:rPr>
        <w:t xml:space="preserve"> dla kierunku: </w:t>
      </w:r>
      <w:r w:rsidRPr="00633562">
        <w:rPr>
          <w:rFonts w:ascii="Times New Roman" w:hAnsi="Times New Roman" w:cs="Times New Roman"/>
          <w:b/>
          <w:bCs/>
          <w:sz w:val="28"/>
          <w:szCs w:val="28"/>
        </w:rPr>
        <w:t>Farmacja</w:t>
      </w:r>
      <w:r w:rsidR="00785F73" w:rsidRPr="0063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05" w:rsidRPr="00633562" w:rsidRDefault="00633562" w:rsidP="00633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85F73" w:rsidRPr="00633562">
        <w:rPr>
          <w:rFonts w:ascii="Times New Roman" w:hAnsi="Times New Roman" w:cs="Times New Roman"/>
          <w:sz w:val="28"/>
          <w:szCs w:val="28"/>
        </w:rPr>
        <w:t>ok akademicki 202</w:t>
      </w:r>
      <w:r w:rsidR="00126049" w:rsidRPr="00633562">
        <w:rPr>
          <w:rFonts w:ascii="Times New Roman" w:hAnsi="Times New Roman" w:cs="Times New Roman"/>
          <w:sz w:val="28"/>
          <w:szCs w:val="28"/>
        </w:rPr>
        <w:t>3</w:t>
      </w:r>
      <w:r w:rsidR="00785F73" w:rsidRPr="00633562">
        <w:rPr>
          <w:rFonts w:ascii="Times New Roman" w:hAnsi="Times New Roman" w:cs="Times New Roman"/>
          <w:sz w:val="28"/>
          <w:szCs w:val="28"/>
        </w:rPr>
        <w:t>/202</w:t>
      </w:r>
      <w:r w:rsidR="00126049" w:rsidRPr="00633562">
        <w:rPr>
          <w:rFonts w:ascii="Times New Roman" w:hAnsi="Times New Roman" w:cs="Times New Roman"/>
          <w:sz w:val="28"/>
          <w:szCs w:val="28"/>
        </w:rPr>
        <w:t>4</w:t>
      </w:r>
    </w:p>
    <w:p w:rsidR="00DB0872" w:rsidRDefault="00DB0872" w:rsidP="00633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562" w:rsidRPr="00633562" w:rsidRDefault="00633562" w:rsidP="00633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633562">
        <w:rPr>
          <w:rFonts w:ascii="Times New Roman" w:hAnsi="Times New Roman"/>
          <w:sz w:val="24"/>
          <w:szCs w:val="24"/>
        </w:rPr>
        <w:t>a.b</w:t>
      </w:r>
      <w:proofErr w:type="spellEnd"/>
      <w:r w:rsidRPr="00633562">
        <w:rPr>
          <w:rFonts w:ascii="Times New Roman" w:hAnsi="Times New Roman"/>
          <w:sz w:val="24"/>
          <w:szCs w:val="24"/>
        </w:rPr>
        <w:t>. Mechanizmy oporności bakterii na antybiotyki. Leki przeciwgrzybicze i przeciwwirusowe (2x4h)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20-22.02.2024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 xml:space="preserve">7.a. Związki wzajemne występujące między </w:t>
      </w:r>
      <w:proofErr w:type="spellStart"/>
      <w:r w:rsidRPr="00633562">
        <w:rPr>
          <w:rFonts w:ascii="Times New Roman" w:hAnsi="Times New Roman"/>
          <w:sz w:val="24"/>
          <w:szCs w:val="24"/>
        </w:rPr>
        <w:t>mikoorganizmami</w:t>
      </w:r>
      <w:proofErr w:type="spellEnd"/>
      <w:r w:rsidRPr="006335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562">
        <w:rPr>
          <w:rFonts w:ascii="Times New Roman" w:hAnsi="Times New Roman"/>
          <w:sz w:val="24"/>
          <w:szCs w:val="24"/>
        </w:rPr>
        <w:t>Mikrobiota</w:t>
      </w:r>
      <w:proofErr w:type="spellEnd"/>
      <w:r w:rsidRPr="00633562">
        <w:rPr>
          <w:rFonts w:ascii="Times New Roman" w:hAnsi="Times New Roman"/>
          <w:sz w:val="24"/>
          <w:szCs w:val="24"/>
        </w:rPr>
        <w:t xml:space="preserve"> człowieka i pobieranie materiałów na badanie mikrobiologiczne (4h)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27-28.02.2024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>7.b.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562">
        <w:rPr>
          <w:rFonts w:ascii="Times New Roman" w:hAnsi="Times New Roman"/>
          <w:sz w:val="24"/>
          <w:szCs w:val="24"/>
        </w:rPr>
        <w:t>Probiotyki</w:t>
      </w:r>
      <w:proofErr w:type="spellEnd"/>
      <w:r w:rsidRPr="00633562">
        <w:rPr>
          <w:rFonts w:ascii="Times New Roman" w:hAnsi="Times New Roman"/>
          <w:sz w:val="24"/>
          <w:szCs w:val="24"/>
        </w:rPr>
        <w:t>.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>Drobnoustroje wykorzystywane do celów farmaceutycznych. Zakażenia przewodu pokarmowego (4h)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28-29.02.2024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>8.a. Mikrobiologia infekcyjna- zakażenia układu oddechowego (4h)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05-06.03.2024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>8.b. Mikrobiologia infekcyjna- zakażenia układu moczowo- płciowego i zakażenia przenoszone drogą płciową (4h)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06-07.03.2024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>9.a. Mikrobiologia infekcyjna- zakażenia tkanek miękkich i skóry, zapalenia kości i stawów, zakażenia krwi (4h)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12-13.03.2024</w:t>
      </w:r>
    </w:p>
    <w:p w:rsidR="00DB0872" w:rsidRPr="00633562" w:rsidRDefault="00DB0872" w:rsidP="00633562">
      <w:pPr>
        <w:pStyle w:val="Akapitzlist"/>
        <w:ind w:left="284" w:right="992"/>
        <w:jc w:val="both"/>
        <w:rPr>
          <w:rFonts w:ascii="Times New Roman" w:hAnsi="Times New Roman"/>
          <w:sz w:val="24"/>
          <w:szCs w:val="24"/>
        </w:rPr>
      </w:pPr>
      <w:r w:rsidRPr="00633562">
        <w:rPr>
          <w:rFonts w:ascii="Times New Roman" w:hAnsi="Times New Roman"/>
          <w:sz w:val="24"/>
          <w:szCs w:val="24"/>
        </w:rPr>
        <w:t>9b.</w:t>
      </w:r>
      <w:r w:rsidR="00633562">
        <w:rPr>
          <w:rFonts w:ascii="Times New Roman" w:hAnsi="Times New Roman"/>
          <w:sz w:val="24"/>
          <w:szCs w:val="24"/>
        </w:rPr>
        <w:t xml:space="preserve"> </w:t>
      </w:r>
      <w:r w:rsidRPr="00633562">
        <w:rPr>
          <w:rFonts w:ascii="Times New Roman" w:hAnsi="Times New Roman"/>
          <w:sz w:val="24"/>
          <w:szCs w:val="24"/>
        </w:rPr>
        <w:t xml:space="preserve">Mikrobiologia infekcyjna- zakażenia układu nerwowego, zakażenia powodowane przez prątki i bakterie atypowe. Diagnostyka mikrobiologiczna zakażeń. Interpretacja wyników badań mikrobiologicznych i antybiogramów. Współczesne metody diagnostyki mikrobiologicznej –  (3h) </w:t>
      </w:r>
      <w:r w:rsidR="00633562">
        <w:rPr>
          <w:rFonts w:ascii="Times New Roman" w:hAnsi="Times New Roman"/>
          <w:sz w:val="24"/>
          <w:szCs w:val="24"/>
        </w:rPr>
        <w:t xml:space="preserve">- </w:t>
      </w:r>
      <w:r w:rsidRPr="00633562">
        <w:rPr>
          <w:rFonts w:ascii="Times New Roman" w:hAnsi="Times New Roman"/>
          <w:b/>
          <w:sz w:val="24"/>
          <w:szCs w:val="24"/>
        </w:rPr>
        <w:t>13-14.03.2024</w:t>
      </w:r>
    </w:p>
    <w:p w:rsidR="00600F05" w:rsidRPr="00633562" w:rsidRDefault="00600F05" w:rsidP="00633562">
      <w:pPr>
        <w:pStyle w:val="Akapitzlist"/>
        <w:ind w:left="142"/>
        <w:rPr>
          <w:rFonts w:ascii="Times New Roman" w:hAnsi="Times New Roman"/>
          <w:sz w:val="24"/>
          <w:szCs w:val="24"/>
        </w:rPr>
      </w:pPr>
    </w:p>
    <w:p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633562" w:rsidRDefault="00633562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633562" w:rsidRDefault="00633562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633562" w:rsidRDefault="00633562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633562" w:rsidRDefault="00633562" w:rsidP="00633562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DB0872" w:rsidRDefault="00DB0872" w:rsidP="005019E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221B1E" w:rsidRPr="00785F7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="00DA379A">
        <w:rPr>
          <w:rFonts w:ascii="Times New Roman" w:hAnsi="Times New Roman" w:cs="Times New Roman"/>
          <w:b/>
          <w:sz w:val="22"/>
          <w:szCs w:val="22"/>
        </w:rPr>
        <w:t>b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B1E" w:rsidRPr="00785F73">
        <w:rPr>
          <w:rFonts w:ascii="Times New Roman" w:hAnsi="Times New Roman" w:cs="Times New Roman"/>
          <w:b/>
          <w:sz w:val="22"/>
          <w:szCs w:val="22"/>
        </w:rPr>
        <w:t>Mechanizmy oporności bakterii na antybiotyki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Pr="005019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5F73">
        <w:rPr>
          <w:rFonts w:ascii="Times New Roman" w:hAnsi="Times New Roman" w:cs="Times New Roman"/>
          <w:b/>
          <w:sz w:val="22"/>
          <w:szCs w:val="22"/>
        </w:rPr>
        <w:t>Leki przeciwgrzybicze i przeciwwirusowe.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Aktualne problemy antybiotykoterapii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narastanie oporności, zmienność czynników etiologicznych zakażeń.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Mechanizmy powstawania oporności bakterii na antybiotyki</w:t>
      </w:r>
      <w:r w:rsidRPr="00785F73">
        <w:rPr>
          <w:rFonts w:ascii="Times New Roman" w:hAnsi="Times New Roman" w:cs="Times New Roman"/>
          <w:sz w:val="22"/>
          <w:szCs w:val="22"/>
        </w:rPr>
        <w:t xml:space="preserve"> - oporność naturalna, oporność nabyta: związana z chromosomem – mutacje, związana z plazmidami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transpozonami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koniugacja, transdukcja, transformacja, selekcja szczepów opornych. 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Ekspresja fenotypowa oporności na antybiotyki - </w:t>
      </w:r>
      <w:r w:rsidRPr="00785F73">
        <w:rPr>
          <w:rFonts w:ascii="Times New Roman" w:hAnsi="Times New Roman" w:cs="Times New Roman"/>
          <w:sz w:val="22"/>
          <w:szCs w:val="22"/>
        </w:rPr>
        <w:t xml:space="preserve">synteza enzymu degradującego, modyfikacja miejsca docelowego działania, zaburzenie barier przepuszczalności, ominięcie ogniwa zablokowanego przez enzym, wypływ antybiotyku. 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Mechanizmy oporności klinicznie ważnych patogenów: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pyogennes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E coli,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Proteus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Acinetobacter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Chemioterapia zakażeń wirusowych – leki przeciwwirusowe, mechanizmy działania.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Chemioterapia zakażeń grzybiczych - leki przeciwgrzybicze, mechanizmy działania, oznaczanie wrażliwości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antymykogram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Leki stosowane w zakażeniach wywołanych przez prątki gruźlicy, beztlenowce, bakterie atypowe.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Wskazania i zasady racjonalnej terapii: terapia empiryczna, terapia celowana, terapia deeskalacyjna.</w:t>
      </w:r>
    </w:p>
    <w:p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:rsidR="003E43B1" w:rsidRPr="00785F73" w:rsidRDefault="003E43B1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 – RODZIAŁ 13.3 I 13.4 ORAZ  ROZDZIAŁ 1 W PODRĘCZNIKA NR 2. WYTYCZNE ZE STRONY www.</w:t>
      </w:r>
      <w:r w:rsidR="00571A83">
        <w:rPr>
          <w:rFonts w:ascii="Times New Roman" w:hAnsi="Times New Roman" w:cs="Times New Roman"/>
          <w:b/>
          <w:i/>
          <w:iCs/>
          <w:sz w:val="22"/>
          <w:szCs w:val="22"/>
        </w:rPr>
        <w:t>antybiotyki.edu.pl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Film: Oznaczanie MRSA.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Wykrywanie różnych mechanizmów oporności: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betalaktamazy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ESBL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AmpC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r w:rsidRPr="00785F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KPC, MBL, </w:t>
      </w:r>
      <w:r w:rsidRPr="00785F73">
        <w:rPr>
          <w:rFonts w:ascii="Times New Roman" w:hAnsi="Times New Roman" w:cs="Times New Roman"/>
          <w:sz w:val="22"/>
          <w:szCs w:val="22"/>
        </w:rPr>
        <w:t>mechanizm M, MLS</w:t>
      </w:r>
      <w:r w:rsidRPr="00785F73">
        <w:rPr>
          <w:rFonts w:ascii="Times New Roman" w:hAnsi="Times New Roman" w:cs="Times New Roman"/>
          <w:sz w:val="22"/>
          <w:szCs w:val="22"/>
          <w:vertAlign w:val="subscript"/>
        </w:rPr>
        <w:t>B</w:t>
      </w:r>
      <w:r w:rsidRPr="00785F73">
        <w:rPr>
          <w:rFonts w:ascii="Times New Roman" w:hAnsi="Times New Roman" w:cs="Times New Roman"/>
          <w:sz w:val="22"/>
          <w:szCs w:val="22"/>
        </w:rPr>
        <w:t>, szczepy MRSA, VISA, HLAR, VRE.</w:t>
      </w:r>
    </w:p>
    <w:p w:rsidR="0064307B" w:rsidRPr="005019EB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Kliniczna interpretacja wyników antybiogramów uzyskanych in vitro. 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Odczytanie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lekowrażliwości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grzybów za pomocą różnych testów: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Candif</w:t>
      </w:r>
      <w:r w:rsidR="00600F05" w:rsidRPr="00785F73">
        <w:rPr>
          <w:rFonts w:ascii="Times New Roman" w:hAnsi="Times New Roman" w:cs="Times New Roman"/>
          <w:sz w:val="22"/>
          <w:szCs w:val="22"/>
        </w:rPr>
        <w:t>ast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,  E-test na specjalnym podłożu RPMI  agar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Odczytanie wrażliwości wybranych bakterii beztlenowych za pomocą E-test (oznaczenie MIC)</w:t>
      </w:r>
    </w:p>
    <w:p w:rsidR="00225FCD" w:rsidRPr="005019EB" w:rsidRDefault="00225FCD" w:rsidP="00225FCD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Wykonanie posiewów ze skóry, z nosa, z gardła.</w:t>
      </w:r>
    </w:p>
    <w:p w:rsidR="00DB0872" w:rsidRDefault="00DB0872" w:rsidP="00DB087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B0872" w:rsidRPr="00785F73" w:rsidRDefault="00DB0872" w:rsidP="00DB0872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85F7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785F7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335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Związki wzajemne mikroorganizmów oraz </w:t>
      </w:r>
      <w:proofErr w:type="spellStart"/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mikrobiota</w:t>
      </w:r>
      <w:proofErr w:type="spellEnd"/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człowieka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 Pobieranie materiałów na badanie mikrobiologiczne.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Formy współżycia między drobnoustrojami: synergizm, antagonizm, obojętność – przykłady.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Współżycie drobnoustrojów z organizmem: symbioza, komensalizm,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saprofityzm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oportunizm, pasożytnictwo, nosicielstwo, antybioza.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Definicje: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mikrobiota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flora fizjologiczna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Mikrobiota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człowieka - skóra, układ oddechowy, pokarmowy, moczowo-płciowy. Rola i uwarunkowania najczęściej występujących drobnoustrojów. 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Chorobotwórczość (zjadliwość) drobnoustrojów – zakaźność, inwazyjność, toksyczność.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Czynniki warunkujące chorobotwórczość: struktury powierzchniowe –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fimbrie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otoczki, substancje śluzowe, białka adhezyjne), toksyny (egzotoksyny, endotoksyny, enterotoksyny, mechanizmy działania toksyn), enzymy (np.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koagulaza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hialuronidaza….).</w:t>
      </w:r>
    </w:p>
    <w:p w:rsidR="00DB0872" w:rsidRPr="00785F73" w:rsidRDefault="00DB0872" w:rsidP="00DB0872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Terminy związane z zakażeniem, zapaleniem i epidemiologią chorób infekcyjnych: adhezja, kolonizacja, kontaminacja, inwazja,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ewazja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zakażenie (ostre, przewlekłe, oportunistyczne, miejscowe, układowe, uogólnione, bezobjawowe, objawowe,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latentne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mieszane, pierwotne, reinfekcja, superinfekcja, szpitalne,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pozaszpitalne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endogenne, egzogenne, wrodzone, nabyte,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antroponoza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antropozoonoza, zoonoza,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sapronoza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bakteriemia, posocznica, intoksykacja, zarażenie, rezerwuar zarazka, źródło zakażenia, wrota zakażenia, okres wylegania, epidemia, endemia, pandemia, współczynnik zachorowalności, wskaźniki: zapadalność, chorobowość, umieralność, śmiertelność.</w:t>
      </w:r>
    </w:p>
    <w:p w:rsidR="000237AB" w:rsidRDefault="000237AB" w:rsidP="00DB087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0872" w:rsidRDefault="00DB0872" w:rsidP="00DB087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 praktyczna:</w:t>
      </w:r>
    </w:p>
    <w:p w:rsidR="00DB0872" w:rsidRPr="00785F73" w:rsidRDefault="00DB0872" w:rsidP="00DB087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WEJŚCIÓWKA – ROZDZIAŁ 5.4 – 5.5</w:t>
      </w:r>
      <w:r w:rsidR="00225FCD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16.1.</w:t>
      </w:r>
    </w:p>
    <w:p w:rsidR="00DB0872" w:rsidRPr="00785F73" w:rsidRDefault="00DB0872" w:rsidP="00DB087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Film. Ekologia jamy ustnej. </w:t>
      </w:r>
    </w:p>
    <w:p w:rsidR="00DB0872" w:rsidRPr="00785F73" w:rsidRDefault="00DB0872" w:rsidP="00DB0872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Określanie NPL metodą posiewu powierzchniowego i wgłębnego.</w:t>
      </w:r>
    </w:p>
    <w:p w:rsidR="00DB0872" w:rsidRPr="00785F73" w:rsidRDefault="00DB0872" w:rsidP="00DB0872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Metoda filtracji.</w:t>
      </w:r>
    </w:p>
    <w:p w:rsidR="00DB0872" w:rsidRPr="00785F73" w:rsidRDefault="00DB0872" w:rsidP="00DB087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Przykłady współżycia drobnoustrojów –bakterie tlenowe i beztlenowe, posiew z mamką.</w:t>
      </w:r>
    </w:p>
    <w:p w:rsidR="00DB0872" w:rsidRPr="00785F73" w:rsidRDefault="00DB0872" w:rsidP="00DB087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Odczytanie posiewów wykonanych z różnych miejsc występowania drobnoustrojów w organizmie.</w:t>
      </w:r>
    </w:p>
    <w:p w:rsidR="00600F05" w:rsidRPr="00633562" w:rsidRDefault="00DB08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preparatów z płytki nazębnej i kieszonki dziąsłowej</w:t>
      </w:r>
    </w:p>
    <w:p w:rsidR="00633562" w:rsidRDefault="00633562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40907" w:rsidRPr="00785F73" w:rsidRDefault="00DA379A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 </w:t>
      </w:r>
      <w:r w:rsidR="00225FCD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40907" w:rsidRPr="00785F7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 w:rsidR="00440907" w:rsidRPr="00785F73">
        <w:rPr>
          <w:rFonts w:ascii="Times New Roman" w:hAnsi="Times New Roman" w:cs="Times New Roman"/>
          <w:b/>
          <w:bCs/>
          <w:sz w:val="22"/>
          <w:szCs w:val="22"/>
        </w:rPr>
        <w:t>Probiotyki</w:t>
      </w:r>
      <w:proofErr w:type="spellEnd"/>
      <w:r w:rsidR="005019EB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  <w:r w:rsidRPr="00DA379A">
        <w:rPr>
          <w:rFonts w:ascii="Times New Roman" w:hAnsi="Times New Roman"/>
          <w:b/>
          <w:sz w:val="22"/>
          <w:szCs w:val="22"/>
        </w:rPr>
        <w:t>Drobnoustroje wykorzystywane do celów farmaceuty</w:t>
      </w:r>
      <w:r w:rsidRPr="00DA379A">
        <w:rPr>
          <w:rFonts w:ascii="Times New Roman" w:hAnsi="Times New Roman"/>
          <w:b/>
        </w:rPr>
        <w:t>cznych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3562">
        <w:rPr>
          <w:rFonts w:ascii="Times New Roman" w:hAnsi="Times New Roman" w:cs="Times New Roman"/>
          <w:b/>
          <w:bCs/>
          <w:sz w:val="22"/>
          <w:szCs w:val="22"/>
        </w:rPr>
        <w:t>Zakażenia</w:t>
      </w:r>
      <w:r w:rsidR="005019EB">
        <w:rPr>
          <w:rFonts w:ascii="Times New Roman" w:hAnsi="Times New Roman" w:cs="Times New Roman"/>
          <w:b/>
          <w:bCs/>
          <w:sz w:val="22"/>
          <w:szCs w:val="22"/>
        </w:rPr>
        <w:t xml:space="preserve"> układu pokarmowego. Zatrucia pokarmowe</w:t>
      </w:r>
    </w:p>
    <w:p w:rsidR="00440907" w:rsidRPr="00785F73" w:rsidRDefault="00440907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Definicje: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probiotyki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prebiotyki,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synbiotyki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19EB" w:rsidRDefault="00440907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lastRenderedPageBreak/>
        <w:t>Pozyskiwanie preparatów probiotycznych. Właściwości szczepów probiotycznych oraz ich rola dla organizmu człowieka.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5019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Czynniki etiologiczne </w:t>
      </w:r>
      <w:r w:rsidRPr="00785F73">
        <w:rPr>
          <w:rFonts w:ascii="Times New Roman" w:hAnsi="Times New Roman" w:cs="Times New Roman"/>
          <w:sz w:val="22"/>
          <w:szCs w:val="22"/>
        </w:rPr>
        <w:t>(bakterie, wirusy, pasożyty), postacie kliniczne, epidemiologia, leczenie zakażeń przewodu pokarmowego i zatruć pokarmowych.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badań mikrobiologicznych w chorobach przewodu pokarmowego</w:t>
      </w:r>
      <w:r w:rsidRPr="00785F73">
        <w:rPr>
          <w:rFonts w:ascii="Times New Roman" w:hAnsi="Times New Roman" w:cs="Times New Roman"/>
          <w:sz w:val="22"/>
          <w:szCs w:val="22"/>
        </w:rPr>
        <w:t>:</w:t>
      </w:r>
    </w:p>
    <w:p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badanie kału i wymazów z odbytu na podłożach wybiórczo-różnicujących, badanie biochemiczne, typowanie serologiczne, typowanie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fagowe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;</w:t>
      </w:r>
    </w:p>
    <w:p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posiew krwi, moczu, żółci, kału, odczyny serologiczne (dur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paradury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</w:t>
      </w:r>
    </w:p>
    <w:p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wykrycie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toksyn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Clostridium botulinum, Clostridium difficile, S aureus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>);</w:t>
      </w:r>
    </w:p>
    <w:p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wykrycie antygenu w kale 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Rotavirus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</w:t>
      </w:r>
    </w:p>
    <w:p w:rsidR="005019EB" w:rsidRPr="00785F73" w:rsidRDefault="005019EB" w:rsidP="005019EB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Profilaktyka zakażeń jelitowych:</w:t>
      </w:r>
      <w:r w:rsidRPr="00785F73">
        <w:rPr>
          <w:sz w:val="22"/>
          <w:szCs w:val="22"/>
        </w:rPr>
        <w:t xml:space="preserve"> badanie nosicielstwa </w:t>
      </w:r>
      <w:r w:rsidRPr="00785F73">
        <w:rPr>
          <w:i/>
          <w:sz w:val="22"/>
          <w:szCs w:val="22"/>
        </w:rPr>
        <w:t xml:space="preserve">Salmonella, </w:t>
      </w:r>
      <w:proofErr w:type="spellStart"/>
      <w:r w:rsidRPr="00785F73">
        <w:rPr>
          <w:i/>
          <w:sz w:val="22"/>
          <w:szCs w:val="22"/>
        </w:rPr>
        <w:t>Shigella</w:t>
      </w:r>
      <w:proofErr w:type="spellEnd"/>
      <w:r w:rsidRPr="00785F73">
        <w:rPr>
          <w:sz w:val="22"/>
          <w:szCs w:val="22"/>
        </w:rPr>
        <w:t>, badanie stopnia zanieczyszczenia wody – miano coli.</w:t>
      </w:r>
    </w:p>
    <w:p w:rsidR="00DA379A" w:rsidRDefault="00DA379A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0620F" w:rsidRDefault="00221B1E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praktyczne:</w:t>
      </w:r>
    </w:p>
    <w:p w:rsidR="003E43B1" w:rsidRPr="00785F73" w:rsidRDefault="003E43B1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WEJŚCIÓWKA- ROZDZIAŁ </w:t>
      </w:r>
      <w:r w:rsidR="00F014A4">
        <w:rPr>
          <w:rFonts w:ascii="Times New Roman" w:hAnsi="Times New Roman" w:cs="Times New Roman"/>
          <w:b/>
          <w:bCs/>
          <w:i/>
          <w:iCs/>
          <w:sz w:val="22"/>
          <w:szCs w:val="22"/>
        </w:rPr>
        <w:t>17.3</w:t>
      </w:r>
    </w:p>
    <w:p w:rsidR="00221B1E" w:rsidRPr="00785F73" w:rsidRDefault="00221B1E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Oznaczanie jakościowe i ilościowe zawartości szczepów probiotycznych 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probiotykach</w:t>
      </w:r>
      <w:proofErr w:type="spellEnd"/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dodatnich posiewów w kierunku </w:t>
      </w:r>
      <w:r w:rsidRPr="00785F73">
        <w:rPr>
          <w:rFonts w:ascii="Times New Roman" w:hAnsi="Times New Roman" w:cs="Times New Roman"/>
          <w:i/>
          <w:sz w:val="22"/>
          <w:szCs w:val="22"/>
        </w:rPr>
        <w:t>Salmonella.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testów biochemicznych wyizolowanych pałeczek Gram-ujemnych.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Wykonanie badania serologicznego celem wykrycia  patogennych </w:t>
      </w:r>
      <w:r w:rsidRPr="00785F73">
        <w:rPr>
          <w:rFonts w:ascii="Times New Roman" w:hAnsi="Times New Roman" w:cs="Times New Roman"/>
          <w:i/>
          <w:sz w:val="22"/>
          <w:szCs w:val="22"/>
        </w:rPr>
        <w:t>E coli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surowic do ustalenia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serotypu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Salmonella,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Shigella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stopnia zanieczyszczenia wody.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antygenów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rotawirusów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adenowirusów w kale – test VIKIA Rota-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Adeno</w:t>
      </w:r>
      <w:proofErr w:type="spellEnd"/>
    </w:p>
    <w:p w:rsidR="005019EB" w:rsidRPr="00785F73" w:rsidRDefault="005019EB" w:rsidP="005019EB">
      <w:pPr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Izolacja i wykrycie toksyn A i B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Clostridium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difficile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:rsidR="005019EB" w:rsidRPr="00785F73" w:rsidRDefault="005019EB" w:rsidP="005019EB">
      <w:pPr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dodatnich posiewów w kierunku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Campylobacter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Wykrywanie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Helicobacter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pylori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kale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ImmunoCard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STAT!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HpSA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próby dodatnie i ujemne</w:t>
      </w:r>
    </w:p>
    <w:p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Prezentacja i omówienie wyników badań oznaczania przeciwciał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IgG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przeciwko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Heliocobacter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pylori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metodą IF oraz przeciwciał przeciwko specyficznym antygenom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Westernblot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5019EB" w:rsidRDefault="005019EB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4307B" w:rsidRPr="00785F73" w:rsidRDefault="00225FCD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40620F" w:rsidRPr="00785F7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40620F" w:rsidRPr="00785F73">
        <w:rPr>
          <w:rFonts w:ascii="Times New Roman" w:hAnsi="Times New Roman" w:cs="Times New Roman"/>
          <w:b/>
          <w:bCs/>
          <w:sz w:val="22"/>
          <w:szCs w:val="22"/>
        </w:rPr>
        <w:t xml:space="preserve">. Mikrobiologia infekcyjna- </w:t>
      </w:r>
      <w:r w:rsidR="0064307B" w:rsidRPr="00785F73">
        <w:rPr>
          <w:rFonts w:ascii="Times New Roman" w:hAnsi="Times New Roman" w:cs="Times New Roman"/>
          <w:b/>
          <w:bCs/>
          <w:sz w:val="22"/>
          <w:szCs w:val="22"/>
        </w:rPr>
        <w:t>Zakażenia dróg oddechowych i oka</w:t>
      </w:r>
      <w:r w:rsidR="005019E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Przypomnienie flory fizjologicznej układu oddechowego</w:t>
      </w:r>
      <w:r w:rsidR="00600F05" w:rsidRPr="00785F73">
        <w:rPr>
          <w:rFonts w:ascii="Times New Roman" w:hAnsi="Times New Roman" w:cs="Times New Roman"/>
          <w:sz w:val="22"/>
          <w:szCs w:val="22"/>
        </w:rPr>
        <w:t xml:space="preserve"> </w:t>
      </w:r>
      <w:r w:rsidR="0040620F" w:rsidRPr="00785F73">
        <w:rPr>
          <w:rFonts w:ascii="Times New Roman" w:hAnsi="Times New Roman" w:cs="Times New Roman"/>
          <w:sz w:val="22"/>
          <w:szCs w:val="22"/>
        </w:rPr>
        <w:t>i pokarmowego</w:t>
      </w:r>
      <w:r w:rsidRPr="00785F73">
        <w:rPr>
          <w:rFonts w:ascii="Times New Roman" w:hAnsi="Times New Roman" w:cs="Times New Roman"/>
          <w:sz w:val="22"/>
          <w:szCs w:val="22"/>
        </w:rPr>
        <w:t xml:space="preserve"> oraz mechanizmów obrony przed zakażeniem.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Najczęstsze postaci kliniczne zakażeń górnych (URTI) i dolnych (LRTI) dróg oddechowych, czynniki etiologiczne (wirusy, grzyby, bakterie: gronkowce, paciorkowce, pałeczki Gram-ujemne, inne, drobnoustroje wywołujące atypowe zapalenia płuc: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Mycoplasma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</w:rPr>
        <w:t>Chlamydia</w:t>
      </w:r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Coxiella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zakażenia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pozaszpitalne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szpitalne.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Zasady diagnostyki (posiewy, badania serologiczne, wykrycie antygenu) i leczenia zakażeń układu oddechowego. 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Chorobotwórczość, diagnostyka, epidemiologia zakażeń wywołanych przez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pneumophila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Bordetella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pertussis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:rsidR="0040620F" w:rsidRPr="00785F73" w:rsidRDefault="0064307B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Zakażenia oka – zakażenia wirusowe, grzybicze, bakteryjne, postaci kliniczne, zasady diagnostyki i leczenia.</w:t>
      </w:r>
    </w:p>
    <w:p w:rsidR="0040620F" w:rsidRPr="00785F73" w:rsidRDefault="0040620F" w:rsidP="00440907">
      <w:pPr>
        <w:rPr>
          <w:rFonts w:ascii="Times New Roman" w:hAnsi="Times New Roman" w:cs="Times New Roman"/>
          <w:sz w:val="22"/>
          <w:szCs w:val="22"/>
        </w:rPr>
      </w:pPr>
    </w:p>
    <w:p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:rsidR="0070692A" w:rsidRPr="00785F73" w:rsidRDefault="0070692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</w:t>
      </w:r>
      <w:r w:rsidR="00E1527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ROZDZIAŁ </w:t>
      </w:r>
      <w:r w:rsidR="00E1527A">
        <w:rPr>
          <w:rFonts w:ascii="Times New Roman" w:hAnsi="Times New Roman" w:cs="Times New Roman"/>
          <w:b/>
          <w:i/>
          <w:iCs/>
          <w:sz w:val="22"/>
          <w:szCs w:val="22"/>
        </w:rPr>
        <w:t>17.1- 17.2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i ocena preparatów bezpośrednich z plwociny (leukocyty, bakterie, grzyby).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hodowli różnych materiałów z dróg oddechowych z udziałem: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aureus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aeruginosa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 Przypomnienie zasad różnicowania w/w drobnoustrojów.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Różnicowanie gatunków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H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(krążki X, V, XV) oraz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Moraxella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catarrhalis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test biochemiczny API NH - demonstracja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antybiogramów wykonanych z w/w drobnoustrojów, wypisanie i interpretacja wyniku.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pneumophila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moczu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BinaxNOW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demonstracja wyniku dodatniego i ujemnego, wykorzystanie testu w praktyce klinicznej.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moczu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BinaxNOW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demonstracja wyniku dodatniego i ujemnego, wykorzystanie testu w praktyce klinicznej.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materiale od pacjenta (wymaz z gardła, migdałków , rany, zmian skórnych itp.)  test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QUIKVUE+Strep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A – omówienie wykonania testu i korzyści dla lekarza i pacjenta wynikających z szybkiego wykrycia obecności  paciorkowców beta-hemolizujących gr. A w materiale badanym. Pokaz testu dodatniego i ujemnego.</w:t>
      </w:r>
    </w:p>
    <w:p w:rsidR="0064307B" w:rsidRPr="00785F73" w:rsidRDefault="0064307B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Oznaczanie mRNA wirusa RS metodą RT-PCR w BAL-u, surowicy pacjenta – zastosowanie testu, przykłady wyników.</w:t>
      </w:r>
    </w:p>
    <w:p w:rsidR="0064307B" w:rsidRPr="00785F73" w:rsidRDefault="0064307B" w:rsidP="00440907">
      <w:pPr>
        <w:rPr>
          <w:rFonts w:ascii="Times New Roman" w:hAnsi="Times New Roman" w:cs="Times New Roman"/>
          <w:b/>
          <w:sz w:val="22"/>
          <w:szCs w:val="22"/>
        </w:rPr>
      </w:pPr>
    </w:p>
    <w:p w:rsidR="0064307B" w:rsidRPr="00785F73" w:rsidRDefault="00DA379A" w:rsidP="0044090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="00225FCD">
        <w:rPr>
          <w:rFonts w:ascii="Times New Roman" w:hAnsi="Times New Roman" w:cs="Times New Roman"/>
          <w:b/>
          <w:sz w:val="22"/>
          <w:szCs w:val="22"/>
        </w:rPr>
        <w:t>b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 xml:space="preserve"> Mikrobiologia infekcyjna-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 xml:space="preserve"> Zakażenia układu moczowo-płciowego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, zakażenia przenoszone drogą płciową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Przypomnienie flory fizjologicznej układu moczowo-płciowego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Czynniki sprzyjające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zakażeniom dróg moczowo-płciowych, postacie kliniczne.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Czynniki etiologiczne zakażeń dróg moczowych. 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Badanie bakteriologiczne moczu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zasady i sposoby pobierania moczu, posiewy ilościowe i jakościowe, antybiogram. Flora fizjologiczna, stopnie czystości pochwy.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Najczęściej występujące stany zapalne pochwy</w:t>
      </w:r>
      <w:r w:rsidRPr="00785F73">
        <w:rPr>
          <w:rFonts w:ascii="Times New Roman" w:hAnsi="Times New Roman" w:cs="Times New Roman"/>
          <w:sz w:val="22"/>
          <w:szCs w:val="22"/>
        </w:rPr>
        <w:t xml:space="preserve">: drożdżyca, rzęsistkowica, bakteryjna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waginoza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Gardnerella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vaginalis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chlamydioza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opryszczka </w:t>
      </w:r>
      <w:r w:rsidRPr="00785F73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Herpes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simplex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typ 2</w:t>
      </w:r>
      <w:r w:rsidRPr="00785F73">
        <w:rPr>
          <w:rFonts w:ascii="Times New Roman" w:hAnsi="Times New Roman" w:cs="Times New Roman"/>
          <w:i/>
          <w:sz w:val="22"/>
          <w:szCs w:val="22"/>
        </w:rPr>
        <w:t>).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Zasady diagnostyki i leczenia.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Zakażenia wewnątrzpłodowe i okołoporodowe </w:t>
      </w:r>
      <w:r w:rsidRPr="00785F7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Toxoplasma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gondii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Rubella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CMV, HSV - TORCH;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)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 xml:space="preserve">Czynniki etiologiczne </w:t>
      </w:r>
      <w:r w:rsidRPr="00785F73">
        <w:rPr>
          <w:sz w:val="22"/>
          <w:szCs w:val="22"/>
        </w:rPr>
        <w:t>aktualnie związane z chorobami przenoszonymi drogą płciową: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1.wirusowe: 1.a: HSV, HPV, MCV (wywołują lokalne zmiany w obrębie i okolicy narządów rodnych); 1.b. 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HIV, HBV, </w:t>
      </w:r>
      <w:r w:rsidRPr="00785F73">
        <w:rPr>
          <w:iCs/>
          <w:sz w:val="22"/>
          <w:szCs w:val="22"/>
        </w:rPr>
        <w:t>HDV,</w:t>
      </w:r>
      <w:r w:rsidRPr="00785F73">
        <w:rPr>
          <w:i/>
          <w:sz w:val="22"/>
          <w:szCs w:val="22"/>
        </w:rPr>
        <w:t xml:space="preserve"> </w:t>
      </w:r>
      <w:r w:rsidRPr="00785F73">
        <w:rPr>
          <w:sz w:val="22"/>
          <w:szCs w:val="22"/>
        </w:rPr>
        <w:t>HCV, HGV, HTLV, HHV 8 (komórka docelowa poza układem płciowym);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2. bakteryjne: </w:t>
      </w:r>
      <w:proofErr w:type="spellStart"/>
      <w:r w:rsidRPr="00785F73">
        <w:rPr>
          <w:i/>
          <w:iCs/>
          <w:sz w:val="22"/>
          <w:szCs w:val="22"/>
        </w:rPr>
        <w:t>Treponema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pallidum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Neisseria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gonorrhoeae</w:t>
      </w:r>
      <w:proofErr w:type="spellEnd"/>
      <w:r w:rsidRPr="00785F73">
        <w:rPr>
          <w:sz w:val="22"/>
          <w:szCs w:val="22"/>
        </w:rPr>
        <w:t xml:space="preserve">, </w:t>
      </w:r>
      <w:r w:rsidRPr="00785F73">
        <w:rPr>
          <w:i/>
          <w:iCs/>
          <w:sz w:val="22"/>
          <w:szCs w:val="22"/>
        </w:rPr>
        <w:t xml:space="preserve">Chlamydia </w:t>
      </w:r>
      <w:proofErr w:type="spellStart"/>
      <w:r w:rsidRPr="00785F73">
        <w:rPr>
          <w:i/>
          <w:iCs/>
          <w:sz w:val="22"/>
          <w:szCs w:val="22"/>
        </w:rPr>
        <w:t>trachomatis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Haemophilus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ducreyi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Gardnerella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vaginalis</w:t>
      </w:r>
      <w:proofErr w:type="spellEnd"/>
      <w:r w:rsidRPr="00785F73">
        <w:rPr>
          <w:sz w:val="22"/>
          <w:szCs w:val="22"/>
        </w:rPr>
        <w:t>;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3. inne: </w:t>
      </w:r>
      <w:proofErr w:type="spellStart"/>
      <w:r w:rsidRPr="00785F73">
        <w:rPr>
          <w:i/>
          <w:iCs/>
          <w:sz w:val="22"/>
          <w:szCs w:val="22"/>
        </w:rPr>
        <w:t>Trichomonas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vaginalis</w:t>
      </w:r>
      <w:proofErr w:type="spellEnd"/>
      <w:r w:rsidRPr="00785F73">
        <w:rPr>
          <w:sz w:val="22"/>
          <w:szCs w:val="22"/>
        </w:rPr>
        <w:t>, drożdżaki;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Kiła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morfologia i fizjologia krętka bladego –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inne krętki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wystepujące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fizjologicznie i chorobotwórcze, diagnostyka kiły w zależności od okresu choroby (preparat bezpośredni, odczyny serologiczne klasyczne (VDRL, USR, Wassermana,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Kolmera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 i nowoczesne (FTA, FTA-ABS,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immobilizacyjny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), profilaktyka kiły, zakażenia poza kontaktem płciowym.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Rzeżączka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morfologia i fizjologia dwoinek rzeżączki –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gonorrhoeae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diagnostyka ostrej i przewlekłej rzeżączki (preparat bezpośredni, hodowle, identyfikacja), zakażenia poza kontaktem płciowym.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u w:val="single"/>
        </w:rPr>
        <w:t>Nierzeżączkowe</w:t>
      </w:r>
      <w:proofErr w:type="spellEnd"/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 zapalenia cewki moczowej (NGU)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chlamydie,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mykoplazmy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diagnostyka.</w:t>
      </w:r>
    </w:p>
    <w:p w:rsidR="0040620F" w:rsidRPr="00633562" w:rsidRDefault="0040620F" w:rsidP="0044090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Chemioterapia STD.</w:t>
      </w:r>
    </w:p>
    <w:p w:rsidR="000237AB" w:rsidRDefault="000237A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:rsidR="00E1527A" w:rsidRPr="00785F73" w:rsidRDefault="00E1527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WEJŚCIÓWKA- ROZDZIAŁ 17.4-17.5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Wykonanie posiewu moczu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ezą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kalibrowaną.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jakościowych i ilościowych posiewów moczu.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Zastosowanie podłoży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chromogennych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 w diagnostyce moczu oraz identyfikacji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(Granada)– przykładowe posiewy.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antybiogramów z dróg moczowych, wypisanie i interpretacja wyniku.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posiewów wymazów z pochwy.</w:t>
      </w:r>
    </w:p>
    <w:p w:rsidR="0064307B" w:rsidRPr="00785F73" w:rsidRDefault="0064307B" w:rsidP="00440907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Oglądanie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hodowli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Lactobacillus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Gardnerella vaginalis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Streptococcus agalactiae.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Przykład szybkiej diagnostyki – wykrywanie obecności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metodą Real-Time PCR w wymazach – demonstracja aparatu i omówienie testu.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Oznaczanie DNA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wymazach z szyjki macicy, pochwy, BAL-u noworodka – zastosowanie testu, przykłady wyników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Filmy: Rzeżączka. Kiła wczesna objawowa. HPV.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bezpośrednich z zakażenia dwoinkami rzeżączki.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hodowli dwoinek rzeżączki, wykonanie testu na wytwarzanie oksydazy.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odczynu FTA-ABS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zestawu do diagnostyki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Ureaplasma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preparatach bezpośrednich metodą IF.</w:t>
      </w:r>
    </w:p>
    <w:p w:rsidR="00DA379A" w:rsidRPr="00633562" w:rsidRDefault="0064307B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Oznaczanie genotypu wirusa HPV metodą PCR/hybrydyzacji w wymazach z kanału szyjki macicy, zeskrobin ze zmian chorobowych  - przykłady wyników badań, omówienie zastosowania testu.</w:t>
      </w:r>
    </w:p>
    <w:p w:rsidR="0064307B" w:rsidRPr="00785F73" w:rsidRDefault="00225FCD" w:rsidP="0040620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600F05" w:rsidRPr="00785F7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. Mikrobiologia infekcyjna- zakażenia tkanek miękkich i skóry, zapalenia kości i stawów, zakażenia krwi</w:t>
      </w:r>
    </w:p>
    <w:p w:rsidR="0064307B" w:rsidRPr="00785F73" w:rsidRDefault="0064307B" w:rsidP="00440907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Posocznica, bakteriemia, zapalenie wsierdzia</w:t>
      </w:r>
      <w:r w:rsidRPr="00785F73">
        <w:rPr>
          <w:sz w:val="22"/>
          <w:szCs w:val="22"/>
        </w:rPr>
        <w:t xml:space="preserve"> – uwarunkowania kliniczne, czynniki etiologiczne, diagnostyka bakteriologiczna: zasady pobierania krwi na posiew ( czas, objętość, podłoża, liczba próbek itp.), metody hodowli krwi, ocena posiewów, interpretacja wyniku posiewu krwi.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Zapalenia skóry, stawów, kości, szpiku</w:t>
      </w:r>
      <w:r w:rsidRPr="00785F73">
        <w:rPr>
          <w:rFonts w:ascii="Times New Roman" w:hAnsi="Times New Roman" w:cs="Times New Roman"/>
          <w:sz w:val="22"/>
          <w:szCs w:val="22"/>
        </w:rPr>
        <w:t>– czynniki etiologiczne, diagnostyka.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chemioterapii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zakażeń  krwi</w:t>
      </w:r>
      <w:r w:rsidR="00600F05" w:rsidRPr="00785F73">
        <w:rPr>
          <w:rFonts w:ascii="Times New Roman" w:hAnsi="Times New Roman" w:cs="Times New Roman"/>
          <w:sz w:val="22"/>
          <w:szCs w:val="22"/>
        </w:rPr>
        <w:t>, zakażeń tkanek miękkich, kości i stawów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600F05" w:rsidRPr="00785F73" w:rsidRDefault="00600F05" w:rsidP="00440907">
      <w:pPr>
        <w:rPr>
          <w:rFonts w:ascii="Times New Roman" w:hAnsi="Times New Roman" w:cs="Times New Roman"/>
          <w:b/>
          <w:sz w:val="22"/>
          <w:szCs w:val="22"/>
        </w:rPr>
      </w:pPr>
    </w:p>
    <w:p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:rsidR="00E1527A" w:rsidRPr="00785F73" w:rsidRDefault="00E1527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WEJŚCIÓWKA- ROZDZIAŁ – 17.8- 17.11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Demonstracja zestawów i podłoży do pobierania krwi.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z zakażeń  krwi.</w:t>
      </w:r>
    </w:p>
    <w:p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Interpretacja wyników posiewów krwi.</w:t>
      </w:r>
    </w:p>
    <w:p w:rsidR="00600F05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Hodowle i identyfikacja najczęstszych patogenów  </w:t>
      </w:r>
      <w:r w:rsidR="00785F73" w:rsidRPr="00785F73">
        <w:rPr>
          <w:rFonts w:ascii="Times New Roman" w:hAnsi="Times New Roman" w:cs="Times New Roman"/>
          <w:sz w:val="22"/>
          <w:szCs w:val="22"/>
        </w:rPr>
        <w:t xml:space="preserve">powodujących zakażenia </w:t>
      </w:r>
      <w:r w:rsidRPr="00785F73">
        <w:rPr>
          <w:rFonts w:ascii="Times New Roman" w:hAnsi="Times New Roman" w:cs="Times New Roman"/>
          <w:sz w:val="22"/>
          <w:szCs w:val="22"/>
        </w:rPr>
        <w:t>krwi</w:t>
      </w:r>
      <w:r w:rsidR="00785F73" w:rsidRPr="00785F73">
        <w:rPr>
          <w:rFonts w:ascii="Times New Roman" w:hAnsi="Times New Roman" w:cs="Times New Roman"/>
          <w:sz w:val="22"/>
          <w:szCs w:val="22"/>
        </w:rPr>
        <w:t>, tkanek miękkich, kości i stawów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:rsidR="0040620F" w:rsidRPr="00DA379A" w:rsidRDefault="00DA379A" w:rsidP="0040620F">
      <w:pPr>
        <w:pStyle w:val="Tekstpodstawowy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9</w:t>
      </w:r>
      <w:r w:rsidR="0040620F" w:rsidRPr="00785F73">
        <w:rPr>
          <w:b/>
          <w:bCs/>
          <w:sz w:val="22"/>
          <w:szCs w:val="22"/>
        </w:rPr>
        <w:t>.</w:t>
      </w:r>
      <w:r w:rsidR="00225FCD">
        <w:rPr>
          <w:b/>
          <w:bCs/>
          <w:sz w:val="22"/>
          <w:szCs w:val="22"/>
        </w:rPr>
        <w:t>b</w:t>
      </w:r>
      <w:r w:rsidR="0040620F" w:rsidRPr="00785F73">
        <w:rPr>
          <w:b/>
          <w:bCs/>
          <w:sz w:val="22"/>
          <w:szCs w:val="22"/>
        </w:rPr>
        <w:t xml:space="preserve">. Mikrobiologia infekcyjna- zakażenia układu nerwowego, zakażenia powodowane przez prątki i bakterie </w:t>
      </w:r>
      <w:r w:rsidR="0040620F" w:rsidRPr="00DA379A">
        <w:rPr>
          <w:b/>
          <w:bCs/>
          <w:sz w:val="22"/>
          <w:szCs w:val="22"/>
        </w:rPr>
        <w:t>atypowe</w:t>
      </w:r>
      <w:r>
        <w:rPr>
          <w:b/>
          <w:bCs/>
          <w:sz w:val="22"/>
          <w:szCs w:val="22"/>
          <w:u w:val="single"/>
        </w:rPr>
        <w:t xml:space="preserve">. </w:t>
      </w:r>
      <w:r w:rsidRPr="00DA379A">
        <w:rPr>
          <w:b/>
          <w:sz w:val="22"/>
          <w:szCs w:val="22"/>
        </w:rPr>
        <w:t>Diagnostyka mikrobiologiczna zakażeń. Interpretacja wyników badań mikrobiologicznych i antybiogramów</w:t>
      </w:r>
      <w:r>
        <w:rPr>
          <w:b/>
          <w:sz w:val="22"/>
          <w:szCs w:val="22"/>
        </w:rPr>
        <w:t>.</w:t>
      </w:r>
      <w:r w:rsidRPr="00DA379A">
        <w:rPr>
          <w:b/>
        </w:rPr>
        <w:t xml:space="preserve"> </w:t>
      </w:r>
      <w:r w:rsidRPr="00DA379A">
        <w:rPr>
          <w:b/>
          <w:sz w:val="22"/>
          <w:szCs w:val="22"/>
        </w:rPr>
        <w:t>Współczesne metody diagnostyki mikrobiologicznej</w:t>
      </w:r>
      <w:r w:rsidR="00550C04">
        <w:rPr>
          <w:b/>
          <w:sz w:val="22"/>
          <w:szCs w:val="22"/>
        </w:rPr>
        <w:t>- 2h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Czynniki predysponujące</w:t>
      </w:r>
      <w:r w:rsidRPr="00785F73">
        <w:rPr>
          <w:sz w:val="22"/>
          <w:szCs w:val="22"/>
        </w:rPr>
        <w:t xml:space="preserve"> do zakażeń CUN, drogi zakażenia.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pobierania płynu mózgowo-rdzeniowego</w:t>
      </w:r>
      <w:r w:rsidRPr="00785F73">
        <w:rPr>
          <w:rFonts w:ascii="Times New Roman" w:hAnsi="Times New Roman" w:cs="Times New Roman"/>
          <w:sz w:val="22"/>
          <w:szCs w:val="22"/>
        </w:rPr>
        <w:t xml:space="preserve"> do badania bakteriologicznego i wirusologicznego.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Czynniki etiologiczne zapaleń opon mózgowo-rdzeniowych i mózgu</w:t>
      </w:r>
      <w:r w:rsidRPr="00785F73"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bakteryjne ropne: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meningitidis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,</w:t>
      </w:r>
      <w:r w:rsidRPr="00785F73">
        <w:rPr>
          <w:rFonts w:ascii="Times New Roman" w:hAnsi="Times New Roman" w:cs="Times New Roman"/>
          <w:sz w:val="22"/>
          <w:szCs w:val="22"/>
        </w:rPr>
        <w:t xml:space="preserve"> pałeczki Gram-ujemne, </w:t>
      </w:r>
    </w:p>
    <w:p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bakteryjne nieropne: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Mycobacterium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tuberculosis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Listeria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monocytogenes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Borrelia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burgdorferi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grzybicze: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Cryptococcus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neoformans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, Candida</w:t>
      </w:r>
    </w:p>
    <w:p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pasożytnicze: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Toxoplasma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gondii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;</w:t>
      </w:r>
    </w:p>
    <w:p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wirusowe (limfocytarne): wirusy neurotropowe –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enterowirusy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: Polio,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Coxackie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Echo, arbowirusy, wścieklizny; wirusy nie neurotropowe, mogące dać powikłania mózgowe – odry, świnki, różyczki,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herpes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adenowirusy, schorzenia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latentne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CUN;</w:t>
      </w:r>
    </w:p>
    <w:p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Diagnostyka neuroinfekcji</w:t>
      </w:r>
      <w:r w:rsidRPr="00785F73">
        <w:rPr>
          <w:rFonts w:ascii="Times New Roman" w:hAnsi="Times New Roman" w:cs="Times New Roman"/>
          <w:sz w:val="22"/>
          <w:szCs w:val="22"/>
        </w:rPr>
        <w:t xml:space="preserve">: badanie płynu mózgowo-rdzeniowego (preparaty bezpośrednie, 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hodowle, wykazanie swoistych antygenów), posiewy innych materiałów, badania serologiczne (wykrycie przeciwciał).</w:t>
      </w:r>
    </w:p>
    <w:p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Diagnostyka gruźlicy- metody barwienia, podłoża diagnostyczne, leczenie</w:t>
      </w:r>
    </w:p>
    <w:p w:rsidR="0040620F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Diagnostyka zakażeń powodowanych przez bakterie atypowe- metody wykrywania, leczenie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Cel i znaczenie badania mikrobiologicznego. 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Zasady pobierania materiału do badań mikrobiologicznych: okres pobierania, rodzaje materiałów, sposoby pobierania, przechowywania i transportu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Opracowanie materiału w pracowni bakteriologicznej –znaczenie praktyczne poszczególnych etapów: 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-badanie mikroskopowe 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-preparat bezpośredni barwiony metodą Grama lub inną ewentualnie wykazanie 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antygenu bezpośrednio w materiale metodami serologicznymi lub genetycznymi;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-posiewy na odpowiednie podłoża bakteriologiczne;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-identyfikacja wyhodowanych drobnoustrojów 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-preparat z hodowli, ocena morfologii kolonii, badanie cech biochemicznych, badanie serologiczne, typowanie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fagowe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, sondy molekularne;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-oznaczenie wrażliwości na antybiotyki;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-badanie zjadliwości drobnoustrojów (metody in vivo i in vitro);</w:t>
      </w:r>
    </w:p>
    <w:p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Kliniczna interpretacja wyniku badania bakteriologicznego.</w:t>
      </w:r>
    </w:p>
    <w:p w:rsidR="007C2971" w:rsidRDefault="007C2971" w:rsidP="0040620F">
      <w:pPr>
        <w:pStyle w:val="Tekstpodstawowy"/>
        <w:rPr>
          <w:b/>
          <w:bCs/>
          <w:i/>
          <w:iCs/>
          <w:sz w:val="22"/>
          <w:szCs w:val="22"/>
        </w:rPr>
      </w:pPr>
    </w:p>
    <w:p w:rsidR="0040620F" w:rsidRDefault="0040620F" w:rsidP="0040620F">
      <w:pPr>
        <w:pStyle w:val="Tekstpodstawowy"/>
        <w:rPr>
          <w:b/>
          <w:bCs/>
          <w:i/>
          <w:iCs/>
          <w:sz w:val="22"/>
          <w:szCs w:val="22"/>
        </w:rPr>
      </w:pPr>
      <w:r w:rsidRPr="00785F73">
        <w:rPr>
          <w:b/>
          <w:bCs/>
          <w:i/>
          <w:iCs/>
          <w:sz w:val="22"/>
          <w:szCs w:val="22"/>
        </w:rPr>
        <w:t>Cz</w:t>
      </w:r>
      <w:r w:rsidR="00D20FAF" w:rsidRPr="00785F73">
        <w:rPr>
          <w:b/>
          <w:bCs/>
          <w:i/>
          <w:iCs/>
          <w:sz w:val="22"/>
          <w:szCs w:val="22"/>
        </w:rPr>
        <w:t>ęść praktyczna:</w:t>
      </w:r>
    </w:p>
    <w:p w:rsidR="00E1527A" w:rsidRPr="00785F73" w:rsidRDefault="00E1527A" w:rsidP="0040620F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WEJŚCIÓWKA – ROZDZIAŁ 17.6</w:t>
      </w:r>
      <w:r w:rsidR="007C2971">
        <w:rPr>
          <w:b/>
          <w:bCs/>
          <w:i/>
          <w:iCs/>
          <w:sz w:val="22"/>
          <w:szCs w:val="22"/>
        </w:rPr>
        <w:t xml:space="preserve"> i</w:t>
      </w:r>
      <w:bookmarkStart w:id="0" w:name="_GoBack"/>
      <w:bookmarkEnd w:id="0"/>
      <w:r w:rsidR="007C2971">
        <w:rPr>
          <w:b/>
          <w:bCs/>
          <w:i/>
          <w:iCs/>
          <w:sz w:val="22"/>
          <w:szCs w:val="22"/>
        </w:rPr>
        <w:t xml:space="preserve"> 16</w:t>
      </w:r>
    </w:p>
    <w:p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Demonstracja zestawów i podłoży do pobierania płynu mózgowo-rdzeniowego .</w:t>
      </w:r>
    </w:p>
    <w:p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z zakażeń płynu mózgowo-rdzeniowego.</w:t>
      </w:r>
    </w:p>
    <w:p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Hodowle i identyfikacja najczęstszych patogenów CUN.</w:t>
      </w:r>
    </w:p>
    <w:p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Zestaw do identyfikacji antygenów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H.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E.coli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K1, </w:t>
      </w:r>
      <w:r w:rsidRPr="00785F73">
        <w:rPr>
          <w:rFonts w:ascii="Times New Roman" w:hAnsi="Times New Roman" w:cs="Times New Roman"/>
          <w:i/>
          <w:sz w:val="22"/>
          <w:szCs w:val="22"/>
        </w:rPr>
        <w:t>S .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N.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meningitidis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Cryptococcus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bezpośrednio z płynu mózgowo-rdzeniowego- zastosowanie w praktyce klinicznej</w:t>
      </w:r>
    </w:p>
    <w:p w:rsidR="00785F73" w:rsidRPr="00785F73" w:rsidRDefault="00785F73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Metody  stosowane w diagnostyce prątki- oglądanie preparatów bezpośrednich i podłoży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sotosowanych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diagnostyce gruźlicy.</w:t>
      </w:r>
    </w:p>
    <w:p w:rsidR="00785F73" w:rsidRPr="00785F73" w:rsidRDefault="00785F73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Metody diagnostyki bakterii atypowych-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interpetacja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wyników badań i leczenie</w:t>
      </w:r>
    </w:p>
    <w:p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Przeprowadzenie i omówienie badania bakteriologicznego na przykładzie badania ropy –preparat bezpośredni, posiew na podłoża: agar z krwią,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McConkeya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Chapmana,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tioglikolanowe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; różnicowanie wyrosłych kolonii (gronkowce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koagulaza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, E coli–szereg biochemiczny), antybiogram.</w:t>
      </w:r>
    </w:p>
    <w:p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preparatów</w:t>
      </w:r>
      <w:r w:rsid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bezpośrednich z różnych materiałów.</w:t>
      </w:r>
    </w:p>
    <w:p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Oglądanie hodowli (fizjologia, zakażenie) z różnych materiałów: mocz, krew, kał, pochwa. </w:t>
      </w:r>
    </w:p>
    <w:p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Różnicowanie cech biochemicznych bakterii</w:t>
      </w:r>
      <w:r w:rsidR="00785F73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785F73" w:rsidRDefault="00785F7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Omówienie systemu MALDI-TOF</w:t>
      </w:r>
    </w:p>
    <w:p w:rsidR="00633562" w:rsidRDefault="00633562" w:rsidP="0063356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LITERATURA OBOWIĄZUJĄCA:</w:t>
      </w:r>
    </w:p>
    <w:p w:rsidR="00E1527A" w:rsidRPr="00E1527A" w:rsidRDefault="00E1527A" w:rsidP="00E1527A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lang w:eastAsia="pl-PL"/>
        </w:rPr>
      </w:pPr>
      <w:r w:rsidRPr="00E1527A">
        <w:rPr>
          <w:rFonts w:ascii="Times New Roman" w:eastAsia="Times New Roman" w:hAnsi="Times New Roman"/>
          <w:b/>
          <w:bCs/>
          <w:lang w:eastAsia="pl-PL"/>
        </w:rPr>
        <w:t xml:space="preserve">HECZKO P., WRÓBLEWSKA M., PIETRZYK A: Mikrobiologia lekarska </w:t>
      </w:r>
    </w:p>
    <w:p w:rsidR="00E1527A" w:rsidRPr="00E1527A" w:rsidRDefault="00E1527A" w:rsidP="00E1527A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lang w:eastAsia="pl-PL"/>
        </w:rPr>
      </w:pPr>
      <w:r w:rsidRPr="00E1527A">
        <w:rPr>
          <w:rFonts w:ascii="Times New Roman" w:eastAsia="Times New Roman" w:hAnsi="Times New Roman"/>
          <w:b/>
          <w:bCs/>
          <w:lang w:eastAsia="pl-PL"/>
        </w:rPr>
        <w:t>DZIERŻANOWSKA D: Antybiotykoterapia praktyczna</w:t>
      </w:r>
    </w:p>
    <w:p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LITERATURA UZUPEŁNIAJĄCA:</w:t>
      </w:r>
    </w:p>
    <w:p w:rsidR="00A5710E" w:rsidRPr="00633562" w:rsidRDefault="00E1527A" w:rsidP="00440907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lang w:eastAsia="pl-PL"/>
        </w:rPr>
      </w:pPr>
      <w:r w:rsidRPr="00E1527A">
        <w:rPr>
          <w:rFonts w:ascii="Times New Roman" w:eastAsia="Times New Roman" w:hAnsi="Times New Roman"/>
          <w:b/>
          <w:bCs/>
          <w:lang w:eastAsia="pl-PL"/>
        </w:rPr>
        <w:t>SZEWCZYK E: Diagnostyka bakteriologiczn</w:t>
      </w:r>
      <w:r w:rsidR="00633562">
        <w:rPr>
          <w:rFonts w:ascii="Times New Roman" w:eastAsia="Times New Roman" w:hAnsi="Times New Roman"/>
          <w:b/>
          <w:bCs/>
          <w:lang w:eastAsia="pl-PL"/>
        </w:rPr>
        <w:t>a</w:t>
      </w:r>
    </w:p>
    <w:sectPr w:rsidR="00A5710E" w:rsidRPr="00633562" w:rsidSect="00633562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0E6B"/>
    <w:multiLevelType w:val="hybridMultilevel"/>
    <w:tmpl w:val="098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EDC"/>
    <w:multiLevelType w:val="singleLevel"/>
    <w:tmpl w:val="7EB8B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2B7CE1"/>
    <w:multiLevelType w:val="hybridMultilevel"/>
    <w:tmpl w:val="73CE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3"/>
    <w:rsid w:val="000237AB"/>
    <w:rsid w:val="0007673D"/>
    <w:rsid w:val="000D6951"/>
    <w:rsid w:val="00126049"/>
    <w:rsid w:val="00221B1E"/>
    <w:rsid w:val="00225FCD"/>
    <w:rsid w:val="003E43B1"/>
    <w:rsid w:val="0040620F"/>
    <w:rsid w:val="00440907"/>
    <w:rsid w:val="005019EB"/>
    <w:rsid w:val="00550C04"/>
    <w:rsid w:val="005518BB"/>
    <w:rsid w:val="00571A83"/>
    <w:rsid w:val="00600F05"/>
    <w:rsid w:val="00633562"/>
    <w:rsid w:val="0064307B"/>
    <w:rsid w:val="00650D93"/>
    <w:rsid w:val="0067480C"/>
    <w:rsid w:val="0070692A"/>
    <w:rsid w:val="00785F73"/>
    <w:rsid w:val="007A569E"/>
    <w:rsid w:val="007C2971"/>
    <w:rsid w:val="00892C73"/>
    <w:rsid w:val="008D7072"/>
    <w:rsid w:val="008F4354"/>
    <w:rsid w:val="00957DFD"/>
    <w:rsid w:val="00A5710E"/>
    <w:rsid w:val="00AF77D2"/>
    <w:rsid w:val="00B20A93"/>
    <w:rsid w:val="00C75342"/>
    <w:rsid w:val="00C80094"/>
    <w:rsid w:val="00CB7DB1"/>
    <w:rsid w:val="00D05D30"/>
    <w:rsid w:val="00D20FAF"/>
    <w:rsid w:val="00DA379A"/>
    <w:rsid w:val="00DB0872"/>
    <w:rsid w:val="00E1527A"/>
    <w:rsid w:val="00E66416"/>
    <w:rsid w:val="00ED420C"/>
    <w:rsid w:val="00F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3944"/>
  <w15:chartTrackingRefBased/>
  <w15:docId w15:val="{ECDC544C-8032-4049-80A2-27E2D8E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0D9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650D9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D9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Fiedorowicz</cp:lastModifiedBy>
  <cp:revision>2</cp:revision>
  <cp:lastPrinted>2024-01-29T10:32:00Z</cp:lastPrinted>
  <dcterms:created xsi:type="dcterms:W3CDTF">2024-01-29T11:20:00Z</dcterms:created>
  <dcterms:modified xsi:type="dcterms:W3CDTF">2024-01-29T11:20:00Z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c49f6bbaba281505af847633605d64817fc15cab0a9d6452fdd6b630e88d8e18</vt:lpwstr>
  </property>
</Properties>
</file>