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55CD5" w14:textId="77777777" w:rsidR="00BF7A71" w:rsidRPr="004650F6" w:rsidRDefault="00A73215" w:rsidP="00A73215">
      <w:pPr>
        <w:jc w:val="center"/>
        <w:rPr>
          <w:rFonts w:asciiTheme="majorHAnsi" w:hAnsiTheme="majorHAnsi" w:cstheme="majorHAnsi"/>
          <w:b/>
        </w:rPr>
      </w:pPr>
      <w:bookmarkStart w:id="0" w:name="_GoBack"/>
      <w:bookmarkEnd w:id="0"/>
      <w:r w:rsidRPr="005D5DF3">
        <w:rPr>
          <w:rFonts w:asciiTheme="majorHAnsi" w:hAnsiTheme="majorHAnsi" w:cstheme="majorHAnsi"/>
          <w:b/>
          <w:highlight w:val="yellow"/>
        </w:rPr>
        <w:t>TEMATYKA SEMINARIÓW NA 3 ROKU Z PRZEDMIOTU STOMATOLOGIA DZIECIĘCA</w:t>
      </w:r>
    </w:p>
    <w:p w14:paraId="29C728C1" w14:textId="77777777" w:rsidR="00A73215" w:rsidRDefault="001F2F2C" w:rsidP="00A73215">
      <w:pPr>
        <w:jc w:val="center"/>
        <w:rPr>
          <w:rFonts w:asciiTheme="majorHAnsi" w:hAnsiTheme="majorHAnsi" w:cstheme="majorHAnsi"/>
          <w:b/>
        </w:rPr>
      </w:pPr>
      <w:r>
        <w:rPr>
          <w:rFonts w:asciiTheme="majorHAnsi" w:hAnsiTheme="majorHAnsi" w:cstheme="majorHAnsi"/>
          <w:b/>
        </w:rPr>
        <w:t>ROK AK: 2023 – 2024</w:t>
      </w:r>
    </w:p>
    <w:p w14:paraId="587331A1" w14:textId="77777777" w:rsidR="004650F6" w:rsidRPr="004650F6" w:rsidRDefault="004650F6" w:rsidP="00A73215">
      <w:pPr>
        <w:jc w:val="center"/>
        <w:rPr>
          <w:rFonts w:asciiTheme="majorHAnsi" w:hAnsiTheme="majorHAnsi" w:cstheme="maj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8646"/>
        <w:gridCol w:w="2121"/>
      </w:tblGrid>
      <w:tr w:rsidR="00F42A98" w:rsidRPr="00F42A98" w14:paraId="09D61D6D" w14:textId="77777777" w:rsidTr="00F42A98">
        <w:trPr>
          <w:trHeight w:val="342"/>
          <w:jc w:val="center"/>
        </w:trPr>
        <w:tc>
          <w:tcPr>
            <w:tcW w:w="421" w:type="dxa"/>
            <w:vAlign w:val="center"/>
          </w:tcPr>
          <w:p w14:paraId="5643CC32" w14:textId="77777777" w:rsidR="00F42A98" w:rsidRPr="00F42A98" w:rsidRDefault="00F42A98" w:rsidP="00A73215">
            <w:pPr>
              <w:pStyle w:val="Tre"/>
              <w:ind w:left="708"/>
              <w:rPr>
                <w:rFonts w:asciiTheme="majorHAnsi" w:hAnsiTheme="majorHAnsi" w:cstheme="majorHAnsi"/>
                <w:b/>
              </w:rPr>
            </w:pPr>
          </w:p>
        </w:tc>
        <w:tc>
          <w:tcPr>
            <w:tcW w:w="8646" w:type="dxa"/>
            <w:shd w:val="clear" w:color="auto" w:fill="auto"/>
            <w:vAlign w:val="center"/>
          </w:tcPr>
          <w:p w14:paraId="01FD8AC9" w14:textId="77777777" w:rsidR="00F42A98" w:rsidRPr="00F42A98" w:rsidRDefault="00F42A98" w:rsidP="004650F6">
            <w:pPr>
              <w:pStyle w:val="Tre"/>
              <w:ind w:left="284"/>
              <w:jc w:val="center"/>
              <w:rPr>
                <w:rFonts w:asciiTheme="majorHAnsi" w:hAnsiTheme="majorHAnsi" w:cstheme="majorHAnsi"/>
                <w:b/>
              </w:rPr>
            </w:pPr>
            <w:r w:rsidRPr="00F42A98">
              <w:rPr>
                <w:rFonts w:asciiTheme="majorHAnsi" w:hAnsiTheme="majorHAnsi" w:cstheme="majorHAnsi"/>
                <w:b/>
              </w:rPr>
              <w:t>TEMATYKA</w:t>
            </w:r>
          </w:p>
        </w:tc>
        <w:tc>
          <w:tcPr>
            <w:tcW w:w="2121" w:type="dxa"/>
            <w:vAlign w:val="center"/>
          </w:tcPr>
          <w:p w14:paraId="76C1F4B8" w14:textId="77777777" w:rsidR="00F42A98" w:rsidRPr="00F42A98" w:rsidRDefault="00F42A98" w:rsidP="004650F6">
            <w:pPr>
              <w:pStyle w:val="Tre"/>
              <w:ind w:left="284"/>
              <w:jc w:val="center"/>
              <w:rPr>
                <w:rFonts w:asciiTheme="majorHAnsi" w:hAnsiTheme="majorHAnsi" w:cstheme="majorHAnsi"/>
                <w:b/>
              </w:rPr>
            </w:pPr>
            <w:r w:rsidRPr="00F42A98">
              <w:rPr>
                <w:rFonts w:asciiTheme="majorHAnsi" w:hAnsiTheme="majorHAnsi" w:cstheme="majorHAnsi"/>
                <w:b/>
              </w:rPr>
              <w:t>DATA ZAJĘĆ</w:t>
            </w:r>
          </w:p>
        </w:tc>
      </w:tr>
      <w:tr w:rsidR="00F42A98" w:rsidRPr="00F42A98" w14:paraId="5613732C" w14:textId="77777777" w:rsidTr="00F42A98">
        <w:trPr>
          <w:trHeight w:val="255"/>
          <w:jc w:val="center"/>
        </w:trPr>
        <w:tc>
          <w:tcPr>
            <w:tcW w:w="421" w:type="dxa"/>
            <w:vAlign w:val="center"/>
          </w:tcPr>
          <w:p w14:paraId="76339C43" w14:textId="77777777" w:rsidR="00F42A98" w:rsidRPr="00F42A98" w:rsidRDefault="00F42A98" w:rsidP="00A73215">
            <w:pPr>
              <w:pStyle w:val="Tre"/>
              <w:numPr>
                <w:ilvl w:val="0"/>
                <w:numId w:val="2"/>
              </w:numPr>
              <w:rPr>
                <w:rFonts w:asciiTheme="majorHAnsi" w:hAnsiTheme="majorHAnsi" w:cstheme="majorHAnsi"/>
                <w:b/>
              </w:rPr>
            </w:pPr>
          </w:p>
        </w:tc>
        <w:tc>
          <w:tcPr>
            <w:tcW w:w="8646" w:type="dxa"/>
            <w:shd w:val="clear" w:color="auto" w:fill="auto"/>
            <w:vAlign w:val="center"/>
          </w:tcPr>
          <w:p w14:paraId="34FEA2FD" w14:textId="77777777" w:rsidR="00F42A98" w:rsidRPr="00F42A98" w:rsidRDefault="00F42A98" w:rsidP="00114DF4">
            <w:pPr>
              <w:pStyle w:val="Tre"/>
              <w:ind w:left="-98"/>
              <w:jc w:val="both"/>
              <w:rPr>
                <w:rFonts w:asciiTheme="majorHAnsi" w:hAnsiTheme="majorHAnsi" w:cstheme="majorHAnsi"/>
              </w:rPr>
            </w:pPr>
            <w:r w:rsidRPr="00F42A98">
              <w:rPr>
                <w:rFonts w:asciiTheme="majorHAnsi" w:hAnsiTheme="majorHAnsi" w:cstheme="majorHAnsi"/>
                <w:b/>
              </w:rPr>
              <w:t>Badanie stomatologiczne dziecka.</w:t>
            </w:r>
            <w:r w:rsidRPr="00F42A98">
              <w:rPr>
                <w:rFonts w:asciiTheme="majorHAnsi" w:hAnsiTheme="majorHAnsi" w:cstheme="majorHAnsi"/>
              </w:rPr>
              <w:t xml:space="preserve"> Badanie podmiotowe (wywiad rodzinny, ogólnolekarski i stomatologiczny) i przedmiotowe dziecka (badanie zewnątrzustne i wewnątrzustne). Ocena stanu uzębienia. Badania dodatkowe. Dokumentacja lekarska. Diagram zębowy. Wskaźniki próchnicy (frekwencja próchnicy, PUW, </w:t>
            </w:r>
            <w:proofErr w:type="spellStart"/>
            <w:r w:rsidRPr="00F42A98">
              <w:rPr>
                <w:rFonts w:asciiTheme="majorHAnsi" w:hAnsiTheme="majorHAnsi" w:cstheme="majorHAnsi"/>
              </w:rPr>
              <w:t>puw</w:t>
            </w:r>
            <w:proofErr w:type="spellEnd"/>
            <w:r w:rsidRPr="00F42A98">
              <w:rPr>
                <w:rFonts w:asciiTheme="majorHAnsi" w:hAnsiTheme="majorHAnsi" w:cstheme="majorHAnsi"/>
              </w:rPr>
              <w:t xml:space="preserve">, </w:t>
            </w:r>
            <w:proofErr w:type="spellStart"/>
            <w:r w:rsidRPr="00F42A98">
              <w:rPr>
                <w:rFonts w:asciiTheme="majorHAnsi" w:hAnsiTheme="majorHAnsi" w:cstheme="majorHAnsi"/>
              </w:rPr>
              <w:t>SiC</w:t>
            </w:r>
            <w:proofErr w:type="spellEnd"/>
            <w:r w:rsidRPr="00F42A98">
              <w:rPr>
                <w:rFonts w:asciiTheme="majorHAnsi" w:hAnsiTheme="majorHAnsi" w:cstheme="majorHAnsi"/>
              </w:rPr>
              <w:t xml:space="preserve">). Wskaźniki higieny (API, OHI-S, </w:t>
            </w:r>
            <w:proofErr w:type="spellStart"/>
            <w:r w:rsidRPr="00F42A98">
              <w:rPr>
                <w:rFonts w:asciiTheme="majorHAnsi" w:hAnsiTheme="majorHAnsi" w:cstheme="majorHAnsi"/>
              </w:rPr>
              <w:t>Pl.I</w:t>
            </w:r>
            <w:proofErr w:type="spellEnd"/>
            <w:r w:rsidRPr="00F42A98">
              <w:rPr>
                <w:rFonts w:asciiTheme="majorHAnsi" w:hAnsiTheme="majorHAnsi" w:cstheme="majorHAnsi"/>
              </w:rPr>
              <w:t xml:space="preserve">.). Środki wybarwiające płytkę nazębną. </w:t>
            </w:r>
          </w:p>
        </w:tc>
        <w:tc>
          <w:tcPr>
            <w:tcW w:w="2121" w:type="dxa"/>
            <w:vAlign w:val="center"/>
          </w:tcPr>
          <w:p w14:paraId="27BF8613" w14:textId="77777777" w:rsidR="00F42A98"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09.10</w:t>
            </w:r>
            <w:r w:rsidRPr="00F42A98">
              <w:rPr>
                <w:rFonts w:asciiTheme="majorHAnsi" w:hAnsiTheme="majorHAnsi" w:cstheme="majorHAnsi"/>
              </w:rPr>
              <w:br/>
            </w:r>
            <w:r>
              <w:rPr>
                <w:rFonts w:asciiTheme="majorHAnsi" w:hAnsiTheme="majorHAnsi" w:cstheme="majorHAnsi"/>
                <w:b/>
              </w:rPr>
              <w:t xml:space="preserve">S1: </w:t>
            </w:r>
            <w:r w:rsidRPr="00F42A98">
              <w:rPr>
                <w:rFonts w:asciiTheme="majorHAnsi" w:hAnsiTheme="majorHAnsi" w:cstheme="majorHAnsi"/>
              </w:rPr>
              <w:t>03.10</w:t>
            </w:r>
          </w:p>
          <w:p w14:paraId="79874949" w14:textId="77777777" w:rsidR="00F42A98" w:rsidRPr="00F42A98" w:rsidRDefault="00F42A98" w:rsidP="00F42A98">
            <w:pPr>
              <w:pStyle w:val="Tre"/>
              <w:rPr>
                <w:rFonts w:asciiTheme="majorHAnsi" w:hAnsiTheme="majorHAnsi" w:cstheme="majorHAnsi"/>
                <w:b/>
              </w:rPr>
            </w:pPr>
            <w:r w:rsidRPr="00F42A98">
              <w:rPr>
                <w:rFonts w:asciiTheme="majorHAnsi" w:hAnsiTheme="majorHAnsi" w:cstheme="majorHAnsi"/>
                <w:b/>
              </w:rPr>
              <w:t>S4</w:t>
            </w:r>
            <w:r>
              <w:rPr>
                <w:rFonts w:asciiTheme="majorHAnsi" w:hAnsiTheme="majorHAnsi" w:cstheme="majorHAnsi"/>
                <w:b/>
              </w:rPr>
              <w:t>:</w:t>
            </w:r>
            <w:r w:rsidR="007209E8">
              <w:rPr>
                <w:rFonts w:asciiTheme="majorHAnsi" w:hAnsiTheme="majorHAnsi" w:cstheme="majorHAnsi"/>
                <w:b/>
              </w:rPr>
              <w:t xml:space="preserve"> </w:t>
            </w:r>
            <w:r w:rsidRPr="00F42A98">
              <w:rPr>
                <w:rFonts w:asciiTheme="majorHAnsi" w:hAnsiTheme="majorHAnsi" w:cstheme="majorHAnsi"/>
              </w:rPr>
              <w:t>04.10</w:t>
            </w:r>
          </w:p>
        </w:tc>
      </w:tr>
      <w:tr w:rsidR="00F42A98" w:rsidRPr="00F42A98" w14:paraId="3D9DC1D3" w14:textId="77777777" w:rsidTr="00F42A98">
        <w:trPr>
          <w:trHeight w:val="255"/>
          <w:jc w:val="center"/>
        </w:trPr>
        <w:tc>
          <w:tcPr>
            <w:tcW w:w="421" w:type="dxa"/>
            <w:vAlign w:val="center"/>
          </w:tcPr>
          <w:p w14:paraId="4336505A" w14:textId="77777777" w:rsidR="00F42A98" w:rsidRPr="00F42A98" w:rsidRDefault="00F42A98" w:rsidP="00A73215">
            <w:pPr>
              <w:pStyle w:val="Tre"/>
              <w:numPr>
                <w:ilvl w:val="0"/>
                <w:numId w:val="2"/>
              </w:numPr>
              <w:rPr>
                <w:rFonts w:asciiTheme="majorHAnsi" w:hAnsiTheme="majorHAnsi" w:cstheme="majorHAnsi"/>
                <w:b/>
              </w:rPr>
            </w:pPr>
          </w:p>
        </w:tc>
        <w:tc>
          <w:tcPr>
            <w:tcW w:w="8646" w:type="dxa"/>
            <w:shd w:val="clear" w:color="auto" w:fill="auto"/>
            <w:vAlign w:val="center"/>
          </w:tcPr>
          <w:p w14:paraId="15B55FB8" w14:textId="77777777" w:rsidR="00F42A98" w:rsidRPr="00F42A98" w:rsidRDefault="00F42A98" w:rsidP="00114DF4">
            <w:pPr>
              <w:pStyle w:val="Tre"/>
              <w:ind w:left="-98"/>
              <w:jc w:val="both"/>
              <w:rPr>
                <w:rFonts w:asciiTheme="majorHAnsi" w:hAnsiTheme="majorHAnsi" w:cstheme="majorHAnsi"/>
              </w:rPr>
            </w:pPr>
            <w:r w:rsidRPr="00F42A98">
              <w:rPr>
                <w:rFonts w:asciiTheme="majorHAnsi" w:hAnsiTheme="majorHAnsi" w:cstheme="majorHAnsi"/>
                <w:b/>
              </w:rPr>
              <w:t>Profilaktyka próchnicy</w:t>
            </w:r>
            <w:r w:rsidRPr="00F42A98">
              <w:rPr>
                <w:rFonts w:asciiTheme="majorHAnsi" w:hAnsiTheme="majorHAnsi" w:cstheme="majorHAnsi"/>
              </w:rPr>
              <w:t xml:space="preserve"> (pierwotnie pierwotna, pierwotna, wtórna). </w:t>
            </w:r>
            <w:r w:rsidRPr="00F42A98">
              <w:rPr>
                <w:rFonts w:asciiTheme="majorHAnsi" w:hAnsiTheme="majorHAnsi" w:cstheme="majorHAnsi"/>
                <w:bCs/>
              </w:rPr>
              <w:t xml:space="preserve">Opieka stomatologiczna kobiety w ciąży. </w:t>
            </w:r>
            <w:r w:rsidRPr="00F42A98">
              <w:rPr>
                <w:rFonts w:asciiTheme="majorHAnsi" w:hAnsiTheme="majorHAnsi" w:cstheme="majorHAnsi"/>
              </w:rPr>
              <w:t xml:space="preserve">Zabiegi higieniczne w jamie ustnej niemowlęcia. Zasady i metody szczotkowania zębów u dzieci (metoda </w:t>
            </w:r>
            <w:proofErr w:type="spellStart"/>
            <w:r w:rsidRPr="00F42A98">
              <w:rPr>
                <w:rFonts w:asciiTheme="majorHAnsi" w:hAnsiTheme="majorHAnsi" w:cstheme="majorHAnsi"/>
              </w:rPr>
              <w:t>Fonesa</w:t>
            </w:r>
            <w:proofErr w:type="spellEnd"/>
            <w:r w:rsidRPr="00F42A98">
              <w:rPr>
                <w:rFonts w:asciiTheme="majorHAnsi" w:hAnsiTheme="majorHAnsi" w:cstheme="majorHAnsi"/>
              </w:rPr>
              <w:t xml:space="preserve">, metoda </w:t>
            </w:r>
            <w:proofErr w:type="spellStart"/>
            <w:r w:rsidRPr="00F42A98">
              <w:rPr>
                <w:rFonts w:asciiTheme="majorHAnsi" w:hAnsiTheme="majorHAnsi" w:cstheme="majorHAnsi"/>
              </w:rPr>
              <w:t>roll</w:t>
            </w:r>
            <w:proofErr w:type="spellEnd"/>
            <w:r w:rsidRPr="00F42A98">
              <w:rPr>
                <w:rFonts w:asciiTheme="majorHAnsi" w:hAnsiTheme="majorHAnsi" w:cstheme="majorHAnsi"/>
              </w:rPr>
              <w:t xml:space="preserve">, metoda </w:t>
            </w:r>
            <w:proofErr w:type="spellStart"/>
            <w:r w:rsidRPr="00F42A98">
              <w:rPr>
                <w:rFonts w:asciiTheme="majorHAnsi" w:hAnsiTheme="majorHAnsi" w:cstheme="majorHAnsi"/>
              </w:rPr>
              <w:t>Bassa</w:t>
            </w:r>
            <w:proofErr w:type="spellEnd"/>
            <w:r w:rsidRPr="00F42A98">
              <w:rPr>
                <w:rFonts w:asciiTheme="majorHAnsi" w:hAnsiTheme="majorHAnsi" w:cstheme="majorHAnsi"/>
              </w:rPr>
              <w:t xml:space="preserve">). Dodatkowe metody oczyszczania (środki do oczyszczania powierzchni </w:t>
            </w:r>
            <w:proofErr w:type="spellStart"/>
            <w:r w:rsidRPr="00F42A98">
              <w:rPr>
                <w:rFonts w:asciiTheme="majorHAnsi" w:hAnsiTheme="majorHAnsi" w:cstheme="majorHAnsi"/>
              </w:rPr>
              <w:t>międzyzębowych</w:t>
            </w:r>
            <w:proofErr w:type="spellEnd"/>
            <w:r w:rsidRPr="00F42A98">
              <w:rPr>
                <w:rFonts w:asciiTheme="majorHAnsi" w:hAnsiTheme="majorHAnsi" w:cstheme="majorHAnsi"/>
              </w:rPr>
              <w:t xml:space="preserve">, pasty do zębów, oczyszczanie języka, płukanki, </w:t>
            </w:r>
            <w:proofErr w:type="spellStart"/>
            <w:r w:rsidRPr="00F42A98">
              <w:rPr>
                <w:rFonts w:asciiTheme="majorHAnsi" w:hAnsiTheme="majorHAnsi" w:cstheme="majorHAnsi"/>
              </w:rPr>
              <w:t>ksylitol</w:t>
            </w:r>
            <w:proofErr w:type="spellEnd"/>
            <w:r w:rsidRPr="00F42A98">
              <w:rPr>
                <w:rFonts w:asciiTheme="majorHAnsi" w:hAnsiTheme="majorHAnsi" w:cstheme="majorHAnsi"/>
              </w:rPr>
              <w:t>).</w:t>
            </w:r>
          </w:p>
        </w:tc>
        <w:tc>
          <w:tcPr>
            <w:tcW w:w="2121" w:type="dxa"/>
            <w:vAlign w:val="center"/>
          </w:tcPr>
          <w:p w14:paraId="6A25D335" w14:textId="77777777" w:rsidR="00F42A98" w:rsidRPr="00F42A98"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16.10</w:t>
            </w:r>
            <w:r w:rsidRPr="00F42A98">
              <w:rPr>
                <w:rFonts w:asciiTheme="majorHAnsi" w:hAnsiTheme="majorHAnsi" w:cstheme="majorHAnsi"/>
              </w:rPr>
              <w:br/>
            </w:r>
            <w:r>
              <w:rPr>
                <w:rFonts w:asciiTheme="majorHAnsi" w:hAnsiTheme="majorHAnsi" w:cstheme="majorHAnsi"/>
                <w:b/>
              </w:rPr>
              <w:t xml:space="preserve">S1: </w:t>
            </w:r>
            <w:r w:rsidR="009C544A">
              <w:rPr>
                <w:rFonts w:asciiTheme="majorHAnsi" w:hAnsiTheme="majorHAnsi" w:cstheme="majorHAnsi"/>
              </w:rPr>
              <w:t>10</w:t>
            </w:r>
            <w:r>
              <w:rPr>
                <w:rFonts w:asciiTheme="majorHAnsi" w:hAnsiTheme="majorHAnsi" w:cstheme="majorHAnsi"/>
              </w:rPr>
              <w:t>.10</w:t>
            </w:r>
          </w:p>
          <w:p w14:paraId="48248F64" w14:textId="77777777" w:rsidR="00F42A98" w:rsidRPr="00F42A98" w:rsidRDefault="00F42A98" w:rsidP="00F42A98">
            <w:pPr>
              <w:pStyle w:val="Tre"/>
              <w:ind w:left="4"/>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 xml:space="preserve">: </w:t>
            </w:r>
            <w:r w:rsidR="009C544A">
              <w:rPr>
                <w:rFonts w:asciiTheme="majorHAnsi" w:hAnsiTheme="majorHAnsi" w:cstheme="majorHAnsi"/>
              </w:rPr>
              <w:t>11</w:t>
            </w:r>
            <w:r>
              <w:rPr>
                <w:rFonts w:asciiTheme="majorHAnsi" w:hAnsiTheme="majorHAnsi" w:cstheme="majorHAnsi"/>
              </w:rPr>
              <w:t>.10</w:t>
            </w:r>
          </w:p>
        </w:tc>
      </w:tr>
      <w:tr w:rsidR="00F42A98" w:rsidRPr="00F42A98" w14:paraId="3744E8B9" w14:textId="77777777" w:rsidTr="00F42A98">
        <w:trPr>
          <w:trHeight w:val="255"/>
          <w:jc w:val="center"/>
        </w:trPr>
        <w:tc>
          <w:tcPr>
            <w:tcW w:w="421" w:type="dxa"/>
            <w:vAlign w:val="center"/>
          </w:tcPr>
          <w:p w14:paraId="682194F7" w14:textId="77777777" w:rsidR="00F42A98" w:rsidRPr="00F42A98" w:rsidRDefault="00F42A98" w:rsidP="00A73215">
            <w:pPr>
              <w:pStyle w:val="Tre"/>
              <w:numPr>
                <w:ilvl w:val="0"/>
                <w:numId w:val="2"/>
              </w:numPr>
              <w:rPr>
                <w:rFonts w:asciiTheme="majorHAnsi" w:hAnsiTheme="majorHAnsi" w:cstheme="majorHAnsi"/>
                <w:b/>
              </w:rPr>
            </w:pPr>
          </w:p>
        </w:tc>
        <w:tc>
          <w:tcPr>
            <w:tcW w:w="8646" w:type="dxa"/>
            <w:shd w:val="clear" w:color="auto" w:fill="auto"/>
            <w:vAlign w:val="center"/>
          </w:tcPr>
          <w:p w14:paraId="6B5CB559" w14:textId="77777777" w:rsidR="00F42A98" w:rsidRPr="00F42A98" w:rsidRDefault="00F42A98" w:rsidP="00114DF4">
            <w:pPr>
              <w:pStyle w:val="Tre"/>
              <w:ind w:left="-98"/>
              <w:jc w:val="both"/>
              <w:rPr>
                <w:rFonts w:asciiTheme="majorHAnsi" w:hAnsiTheme="majorHAnsi" w:cstheme="majorHAnsi"/>
              </w:rPr>
            </w:pPr>
            <w:r w:rsidRPr="00F42A98">
              <w:rPr>
                <w:rFonts w:asciiTheme="majorHAnsi" w:hAnsiTheme="majorHAnsi" w:cstheme="majorHAnsi"/>
                <w:b/>
              </w:rPr>
              <w:t>Profilaktyka fluorkowa cz.1</w:t>
            </w:r>
            <w:r w:rsidRPr="00F42A98">
              <w:rPr>
                <w:rFonts w:asciiTheme="majorHAnsi" w:hAnsiTheme="majorHAnsi" w:cstheme="majorHAnsi"/>
              </w:rPr>
              <w:t xml:space="preserve"> </w:t>
            </w:r>
            <w:proofErr w:type="spellStart"/>
            <w:r w:rsidRPr="00F42A98">
              <w:rPr>
                <w:rFonts w:asciiTheme="majorHAnsi" w:hAnsiTheme="majorHAnsi" w:cstheme="majorHAnsi"/>
              </w:rPr>
              <w:t>Kariostatyczne</w:t>
            </w:r>
            <w:proofErr w:type="spellEnd"/>
            <w:r w:rsidRPr="00F42A98">
              <w:rPr>
                <w:rFonts w:asciiTheme="majorHAnsi" w:hAnsiTheme="majorHAnsi" w:cstheme="majorHAnsi"/>
              </w:rPr>
              <w:t xml:space="preserve"> mechanizmy działania fluoru w okresie </w:t>
            </w:r>
            <w:proofErr w:type="spellStart"/>
            <w:r w:rsidRPr="00F42A98">
              <w:rPr>
                <w:rFonts w:asciiTheme="majorHAnsi" w:hAnsiTheme="majorHAnsi" w:cstheme="majorHAnsi"/>
              </w:rPr>
              <w:t>przederupcyjnym</w:t>
            </w:r>
            <w:proofErr w:type="spellEnd"/>
            <w:r w:rsidRPr="00F42A98">
              <w:rPr>
                <w:rFonts w:asciiTheme="majorHAnsi" w:hAnsiTheme="majorHAnsi" w:cstheme="majorHAnsi"/>
              </w:rPr>
              <w:t xml:space="preserve"> i </w:t>
            </w:r>
            <w:proofErr w:type="spellStart"/>
            <w:r w:rsidRPr="00F42A98">
              <w:rPr>
                <w:rFonts w:asciiTheme="majorHAnsi" w:hAnsiTheme="majorHAnsi" w:cstheme="majorHAnsi"/>
              </w:rPr>
              <w:t>poerupcyjnym</w:t>
            </w:r>
            <w:proofErr w:type="spellEnd"/>
            <w:r w:rsidRPr="00F42A98">
              <w:rPr>
                <w:rFonts w:asciiTheme="majorHAnsi" w:hAnsiTheme="majorHAnsi" w:cstheme="majorHAnsi"/>
              </w:rPr>
              <w:t xml:space="preserve">. Wpływ fluoru na procesy demineralizacji i remineralizacji, na metabolizm komórki bakteryjnej. Rola </w:t>
            </w:r>
            <w:proofErr w:type="spellStart"/>
            <w:r w:rsidRPr="00F42A98">
              <w:rPr>
                <w:rFonts w:asciiTheme="majorHAnsi" w:hAnsiTheme="majorHAnsi" w:cstheme="majorHAnsi"/>
              </w:rPr>
              <w:t>fluoroapatytu</w:t>
            </w:r>
            <w:proofErr w:type="spellEnd"/>
            <w:r w:rsidRPr="00F42A98">
              <w:rPr>
                <w:rFonts w:asciiTheme="majorHAnsi" w:hAnsiTheme="majorHAnsi" w:cstheme="majorHAnsi"/>
              </w:rPr>
              <w:t xml:space="preserve"> i fluorku wapnia. Profilaktyka fluorkowa endogenna (fluorkowanie wody, soli, mleka, tabletki/krople z fluorem) – wskazania, przeciwskazania, dawkowanie.</w:t>
            </w:r>
          </w:p>
        </w:tc>
        <w:tc>
          <w:tcPr>
            <w:tcW w:w="2121" w:type="dxa"/>
            <w:vAlign w:val="center"/>
          </w:tcPr>
          <w:p w14:paraId="5EA60D91" w14:textId="77777777" w:rsidR="00F42A98" w:rsidRPr="00F42A98"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23.10</w:t>
            </w:r>
            <w:r w:rsidRPr="00F42A98">
              <w:rPr>
                <w:rFonts w:asciiTheme="majorHAnsi" w:hAnsiTheme="majorHAnsi" w:cstheme="majorHAnsi"/>
              </w:rPr>
              <w:br/>
            </w:r>
            <w:r>
              <w:rPr>
                <w:rFonts w:asciiTheme="majorHAnsi" w:hAnsiTheme="majorHAnsi" w:cstheme="majorHAnsi"/>
                <w:b/>
              </w:rPr>
              <w:t xml:space="preserve">S1: </w:t>
            </w:r>
            <w:r w:rsidR="009C544A">
              <w:rPr>
                <w:rFonts w:asciiTheme="majorHAnsi" w:hAnsiTheme="majorHAnsi" w:cstheme="majorHAnsi"/>
              </w:rPr>
              <w:t>17</w:t>
            </w:r>
            <w:r>
              <w:rPr>
                <w:rFonts w:asciiTheme="majorHAnsi" w:hAnsiTheme="majorHAnsi" w:cstheme="majorHAnsi"/>
              </w:rPr>
              <w:t>.10</w:t>
            </w:r>
          </w:p>
          <w:p w14:paraId="236365CB" w14:textId="77777777" w:rsidR="00F42A98" w:rsidRPr="00F42A98" w:rsidRDefault="00F42A98" w:rsidP="00F42A98">
            <w:pPr>
              <w:pStyle w:val="Tre"/>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w:t>
            </w:r>
            <w:r w:rsidR="009C544A">
              <w:rPr>
                <w:rFonts w:asciiTheme="majorHAnsi" w:hAnsiTheme="majorHAnsi" w:cstheme="majorHAnsi"/>
              </w:rPr>
              <w:t>18</w:t>
            </w:r>
            <w:r>
              <w:rPr>
                <w:rFonts w:asciiTheme="majorHAnsi" w:hAnsiTheme="majorHAnsi" w:cstheme="majorHAnsi"/>
              </w:rPr>
              <w:t>.10</w:t>
            </w:r>
          </w:p>
        </w:tc>
      </w:tr>
      <w:tr w:rsidR="00F42A98" w:rsidRPr="00F42A98" w14:paraId="0B580C2F" w14:textId="77777777" w:rsidTr="00F42A98">
        <w:trPr>
          <w:trHeight w:val="255"/>
          <w:jc w:val="center"/>
        </w:trPr>
        <w:tc>
          <w:tcPr>
            <w:tcW w:w="421" w:type="dxa"/>
            <w:vAlign w:val="center"/>
          </w:tcPr>
          <w:p w14:paraId="69A0E216" w14:textId="77777777" w:rsidR="00F42A98" w:rsidRPr="00F42A98" w:rsidRDefault="00F42A98" w:rsidP="00A73215">
            <w:pPr>
              <w:pStyle w:val="Tre"/>
              <w:numPr>
                <w:ilvl w:val="0"/>
                <w:numId w:val="2"/>
              </w:numPr>
              <w:rPr>
                <w:rFonts w:asciiTheme="majorHAnsi" w:hAnsiTheme="majorHAnsi" w:cstheme="majorHAnsi"/>
                <w:b/>
              </w:rPr>
            </w:pPr>
          </w:p>
        </w:tc>
        <w:tc>
          <w:tcPr>
            <w:tcW w:w="8646" w:type="dxa"/>
            <w:shd w:val="clear" w:color="auto" w:fill="auto"/>
            <w:vAlign w:val="center"/>
          </w:tcPr>
          <w:p w14:paraId="5C0E60E0" w14:textId="77777777" w:rsidR="00F42A98" w:rsidRPr="00F42A98" w:rsidRDefault="00F42A98" w:rsidP="00114DF4">
            <w:pPr>
              <w:pStyle w:val="Tre"/>
              <w:ind w:left="-98"/>
              <w:jc w:val="both"/>
              <w:rPr>
                <w:rFonts w:asciiTheme="majorHAnsi" w:hAnsiTheme="majorHAnsi" w:cstheme="majorHAnsi"/>
              </w:rPr>
            </w:pPr>
            <w:r w:rsidRPr="00F42A98">
              <w:rPr>
                <w:rFonts w:asciiTheme="majorHAnsi" w:hAnsiTheme="majorHAnsi" w:cstheme="majorHAnsi"/>
                <w:b/>
              </w:rPr>
              <w:t>Profilaktyka fluorkowa cz.2.</w:t>
            </w:r>
            <w:r w:rsidRPr="00F42A98">
              <w:rPr>
                <w:rFonts w:asciiTheme="majorHAnsi" w:hAnsiTheme="majorHAnsi" w:cstheme="majorHAnsi"/>
              </w:rPr>
              <w:t xml:space="preserve"> Profilaktyka fluorkowa egzogenna indywidualna (profesjonalna i domowa) i grupowa. Stosowane  preparaty fluorkowe (związki fluoru, stężenia, dawki, sposób stosowania, wskazania i przeciwskazania). Bezpieczeństwo stosowania związków fluoru ( źródła fluoru, dawki toksyczne, zatrucia fluorem ostre i przewlekłe – objawy i postepowanie).</w:t>
            </w:r>
          </w:p>
        </w:tc>
        <w:tc>
          <w:tcPr>
            <w:tcW w:w="2121" w:type="dxa"/>
            <w:vAlign w:val="center"/>
          </w:tcPr>
          <w:p w14:paraId="2EA74705" w14:textId="77777777" w:rsidR="00F42A98" w:rsidRPr="00F42A98"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30.10</w:t>
            </w:r>
            <w:r w:rsidRPr="00F42A98">
              <w:rPr>
                <w:rFonts w:asciiTheme="majorHAnsi" w:hAnsiTheme="majorHAnsi" w:cstheme="majorHAnsi"/>
              </w:rPr>
              <w:br/>
            </w:r>
            <w:r>
              <w:rPr>
                <w:rFonts w:asciiTheme="majorHAnsi" w:hAnsiTheme="majorHAnsi" w:cstheme="majorHAnsi"/>
                <w:b/>
              </w:rPr>
              <w:t xml:space="preserve">S1: </w:t>
            </w:r>
            <w:r w:rsidR="009C544A">
              <w:rPr>
                <w:rFonts w:asciiTheme="majorHAnsi" w:hAnsiTheme="majorHAnsi" w:cstheme="majorHAnsi"/>
              </w:rPr>
              <w:t>24.10</w:t>
            </w:r>
          </w:p>
          <w:p w14:paraId="625C55E5" w14:textId="77777777" w:rsidR="00F42A98" w:rsidRPr="00F42A98" w:rsidRDefault="00F42A98" w:rsidP="00F42A98">
            <w:pPr>
              <w:pStyle w:val="Tre"/>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 xml:space="preserve">: </w:t>
            </w:r>
            <w:r w:rsidR="009C544A">
              <w:rPr>
                <w:rFonts w:asciiTheme="majorHAnsi" w:hAnsiTheme="majorHAnsi" w:cstheme="majorHAnsi"/>
              </w:rPr>
              <w:t>25.10</w:t>
            </w:r>
          </w:p>
        </w:tc>
      </w:tr>
      <w:tr w:rsidR="00F42A98" w:rsidRPr="00F42A98" w14:paraId="67843555" w14:textId="77777777" w:rsidTr="00F42A98">
        <w:trPr>
          <w:trHeight w:val="1472"/>
          <w:jc w:val="center"/>
        </w:trPr>
        <w:tc>
          <w:tcPr>
            <w:tcW w:w="421" w:type="dxa"/>
            <w:vAlign w:val="center"/>
          </w:tcPr>
          <w:p w14:paraId="4BD82052" w14:textId="77777777" w:rsidR="00F42A98" w:rsidRPr="00F42A98" w:rsidRDefault="00F42A98" w:rsidP="00A73215">
            <w:pPr>
              <w:pStyle w:val="Tre"/>
              <w:numPr>
                <w:ilvl w:val="0"/>
                <w:numId w:val="2"/>
              </w:numPr>
              <w:rPr>
                <w:rFonts w:asciiTheme="majorHAnsi" w:hAnsiTheme="majorHAnsi" w:cstheme="majorHAnsi"/>
                <w:b/>
              </w:rPr>
            </w:pPr>
          </w:p>
        </w:tc>
        <w:tc>
          <w:tcPr>
            <w:tcW w:w="8646" w:type="dxa"/>
            <w:shd w:val="clear" w:color="auto" w:fill="auto"/>
            <w:vAlign w:val="center"/>
          </w:tcPr>
          <w:p w14:paraId="3D5CBAF0" w14:textId="77777777" w:rsidR="00F42A98" w:rsidRPr="00F42A98" w:rsidRDefault="00F42A98" w:rsidP="004650F6">
            <w:pPr>
              <w:pStyle w:val="Akapitzlist"/>
              <w:spacing w:line="240" w:lineRule="auto"/>
              <w:ind w:left="-98"/>
              <w:jc w:val="both"/>
              <w:rPr>
                <w:rFonts w:asciiTheme="majorHAnsi" w:hAnsiTheme="majorHAnsi" w:cstheme="majorHAnsi"/>
                <w:b/>
              </w:rPr>
            </w:pPr>
            <w:r w:rsidRPr="00F42A98">
              <w:rPr>
                <w:rFonts w:asciiTheme="majorHAnsi" w:hAnsiTheme="majorHAnsi" w:cstheme="majorHAnsi"/>
                <w:b/>
              </w:rPr>
              <w:t>Metody leczenia próchnicy minimalnie inwazyjne.</w:t>
            </w:r>
          </w:p>
          <w:p w14:paraId="297C582A" w14:textId="77777777" w:rsidR="00F42A98" w:rsidRPr="00F42A98" w:rsidRDefault="00F42A98" w:rsidP="004650F6">
            <w:pPr>
              <w:pStyle w:val="Akapitzlist"/>
              <w:spacing w:line="240" w:lineRule="auto"/>
              <w:ind w:left="-98"/>
              <w:jc w:val="both"/>
              <w:rPr>
                <w:rFonts w:asciiTheme="majorHAnsi" w:hAnsiTheme="majorHAnsi" w:cstheme="majorHAnsi"/>
                <w:b/>
              </w:rPr>
            </w:pPr>
            <w:proofErr w:type="spellStart"/>
            <w:r w:rsidRPr="00F42A98">
              <w:rPr>
                <w:rFonts w:asciiTheme="majorHAnsi" w:hAnsiTheme="majorHAnsi" w:cstheme="majorHAnsi"/>
              </w:rPr>
              <w:t>Remineralizacja</w:t>
            </w:r>
            <w:proofErr w:type="spellEnd"/>
            <w:r w:rsidRPr="00F42A98">
              <w:rPr>
                <w:rFonts w:asciiTheme="majorHAnsi" w:hAnsiTheme="majorHAnsi" w:cstheme="majorHAnsi"/>
              </w:rPr>
              <w:t xml:space="preserve"> (definicja, mechanizm, preparaty). Lakowanie (definicja, typy bruzd, wskazania, materiały, technika). Infiltracja, PRRI, PRRII, preparacje szczelinowe, ART, CMCR, abrazja pierwotna (definicja, wskazania, materiały, technika zabiegu). Laserowe opracowanie ubytku, dźwiękowe opracowanie ubytku, ultradźwiękowe (rodzaje, zalety, wady).</w:t>
            </w:r>
          </w:p>
        </w:tc>
        <w:tc>
          <w:tcPr>
            <w:tcW w:w="2121" w:type="dxa"/>
            <w:vAlign w:val="center"/>
          </w:tcPr>
          <w:p w14:paraId="224F07F8" w14:textId="57C50AC0" w:rsidR="00F42A98" w:rsidRPr="00F42A98"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06.11</w:t>
            </w:r>
            <w:r w:rsidRPr="00F42A98">
              <w:rPr>
                <w:rFonts w:asciiTheme="majorHAnsi" w:hAnsiTheme="majorHAnsi" w:cstheme="majorHAnsi"/>
              </w:rPr>
              <w:br/>
            </w:r>
            <w:r>
              <w:rPr>
                <w:rFonts w:asciiTheme="majorHAnsi" w:hAnsiTheme="majorHAnsi" w:cstheme="majorHAnsi"/>
                <w:b/>
              </w:rPr>
              <w:t xml:space="preserve">S1: </w:t>
            </w:r>
            <w:r w:rsidR="002470E8">
              <w:rPr>
                <w:rFonts w:asciiTheme="majorHAnsi" w:hAnsiTheme="majorHAnsi" w:cstheme="majorHAnsi"/>
                <w:b/>
              </w:rPr>
              <w:t>7</w:t>
            </w:r>
            <w:r w:rsidR="00FC3197">
              <w:rPr>
                <w:rFonts w:asciiTheme="majorHAnsi" w:hAnsiTheme="majorHAnsi" w:cstheme="majorHAnsi"/>
              </w:rPr>
              <w:t>.1</w:t>
            </w:r>
            <w:r w:rsidR="002470E8">
              <w:rPr>
                <w:rFonts w:asciiTheme="majorHAnsi" w:hAnsiTheme="majorHAnsi" w:cstheme="majorHAnsi"/>
              </w:rPr>
              <w:t>1</w:t>
            </w:r>
          </w:p>
          <w:p w14:paraId="4CF17E39" w14:textId="77777777" w:rsidR="00F42A98" w:rsidRPr="00F42A98" w:rsidRDefault="00F42A98" w:rsidP="00F42A98">
            <w:pPr>
              <w:pStyle w:val="Tre"/>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 xml:space="preserve">: </w:t>
            </w:r>
            <w:r w:rsidR="009C544A">
              <w:rPr>
                <w:rFonts w:asciiTheme="majorHAnsi" w:hAnsiTheme="majorHAnsi" w:cstheme="majorHAnsi"/>
              </w:rPr>
              <w:t>08</w:t>
            </w:r>
            <w:r>
              <w:rPr>
                <w:rFonts w:asciiTheme="majorHAnsi" w:hAnsiTheme="majorHAnsi" w:cstheme="majorHAnsi"/>
              </w:rPr>
              <w:t>.11</w:t>
            </w:r>
          </w:p>
        </w:tc>
      </w:tr>
      <w:tr w:rsidR="00F42A98" w:rsidRPr="00F42A98" w14:paraId="72A3CB24" w14:textId="77777777" w:rsidTr="00F42A98">
        <w:trPr>
          <w:trHeight w:val="255"/>
          <w:jc w:val="center"/>
        </w:trPr>
        <w:tc>
          <w:tcPr>
            <w:tcW w:w="421" w:type="dxa"/>
            <w:vAlign w:val="center"/>
          </w:tcPr>
          <w:p w14:paraId="55FEFBE8" w14:textId="77777777" w:rsidR="00F42A98" w:rsidRPr="00F42A98" w:rsidRDefault="00F42A98" w:rsidP="00A73215">
            <w:pPr>
              <w:pStyle w:val="Tre"/>
              <w:numPr>
                <w:ilvl w:val="0"/>
                <w:numId w:val="2"/>
              </w:numPr>
              <w:rPr>
                <w:rFonts w:asciiTheme="majorHAnsi" w:hAnsiTheme="majorHAnsi" w:cstheme="majorHAnsi"/>
                <w:b/>
              </w:rPr>
            </w:pPr>
          </w:p>
        </w:tc>
        <w:tc>
          <w:tcPr>
            <w:tcW w:w="8646" w:type="dxa"/>
            <w:shd w:val="clear" w:color="auto" w:fill="auto"/>
            <w:vAlign w:val="center"/>
          </w:tcPr>
          <w:p w14:paraId="3212E10D" w14:textId="77777777" w:rsidR="00F42A98" w:rsidRPr="00F42A98" w:rsidRDefault="00F42A98" w:rsidP="004650F6">
            <w:pPr>
              <w:pStyle w:val="Tre"/>
              <w:ind w:left="-98"/>
              <w:jc w:val="both"/>
              <w:rPr>
                <w:rFonts w:asciiTheme="majorHAnsi" w:hAnsiTheme="majorHAnsi" w:cstheme="majorHAnsi"/>
              </w:rPr>
            </w:pPr>
            <w:r w:rsidRPr="00F42A98">
              <w:rPr>
                <w:rFonts w:asciiTheme="majorHAnsi" w:hAnsiTheme="majorHAnsi" w:cstheme="majorHAnsi"/>
                <w:b/>
              </w:rPr>
              <w:t>Ocena ryzyka próchnicy</w:t>
            </w:r>
            <w:r w:rsidRPr="00F42A98">
              <w:rPr>
                <w:rFonts w:asciiTheme="majorHAnsi" w:hAnsiTheme="majorHAnsi" w:cstheme="majorHAnsi"/>
              </w:rPr>
              <w:t xml:space="preserve"> (czynniki przyczynowe choroby próchnicowej, czynniki prognostyczne, czynniki ochronne. System CRA, </w:t>
            </w:r>
            <w:proofErr w:type="spellStart"/>
            <w:r w:rsidRPr="00F42A98">
              <w:rPr>
                <w:rFonts w:asciiTheme="majorHAnsi" w:hAnsiTheme="majorHAnsi" w:cstheme="majorHAnsi"/>
              </w:rPr>
              <w:t>Cariogram</w:t>
            </w:r>
            <w:proofErr w:type="spellEnd"/>
            <w:r w:rsidRPr="00F42A98">
              <w:rPr>
                <w:rFonts w:asciiTheme="majorHAnsi" w:hAnsiTheme="majorHAnsi" w:cstheme="majorHAnsi"/>
              </w:rPr>
              <w:t>). Przyczyny zaburzeń wydzielania śliny u dzieci i młodzieży. Ilość i szybkość wydzielania śliny. Testy ślinowe. Planowanie leczenia. Plan profilaktyczno-leczniczy w uzębieniu mlecznym, mieszanym i stałym.</w:t>
            </w:r>
          </w:p>
        </w:tc>
        <w:tc>
          <w:tcPr>
            <w:tcW w:w="2121" w:type="dxa"/>
            <w:vAlign w:val="center"/>
          </w:tcPr>
          <w:p w14:paraId="19508D89" w14:textId="08A42A17" w:rsidR="00F42A98" w:rsidRPr="00F42A98"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13.11</w:t>
            </w:r>
            <w:r w:rsidRPr="00F42A98">
              <w:rPr>
                <w:rFonts w:asciiTheme="majorHAnsi" w:hAnsiTheme="majorHAnsi" w:cstheme="majorHAnsi"/>
              </w:rPr>
              <w:br/>
            </w:r>
            <w:r>
              <w:rPr>
                <w:rFonts w:asciiTheme="majorHAnsi" w:hAnsiTheme="majorHAnsi" w:cstheme="majorHAnsi"/>
                <w:b/>
              </w:rPr>
              <w:t xml:space="preserve">S1: </w:t>
            </w:r>
            <w:r w:rsidR="002470E8">
              <w:rPr>
                <w:rFonts w:asciiTheme="majorHAnsi" w:hAnsiTheme="majorHAnsi" w:cstheme="majorHAnsi"/>
                <w:b/>
              </w:rPr>
              <w:t>14</w:t>
            </w:r>
            <w:r>
              <w:rPr>
                <w:rFonts w:asciiTheme="majorHAnsi" w:hAnsiTheme="majorHAnsi" w:cstheme="majorHAnsi"/>
              </w:rPr>
              <w:t>.11</w:t>
            </w:r>
          </w:p>
          <w:p w14:paraId="42528421" w14:textId="77777777" w:rsidR="00F42A98" w:rsidRPr="00F42A98" w:rsidRDefault="00F42A98" w:rsidP="00F42A98">
            <w:pPr>
              <w:pStyle w:val="Tre"/>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 xml:space="preserve">: </w:t>
            </w:r>
            <w:r w:rsidR="007209E8">
              <w:rPr>
                <w:rFonts w:asciiTheme="majorHAnsi" w:hAnsiTheme="majorHAnsi" w:cstheme="majorHAnsi"/>
              </w:rPr>
              <w:t>15</w:t>
            </w:r>
            <w:r>
              <w:rPr>
                <w:rFonts w:asciiTheme="majorHAnsi" w:hAnsiTheme="majorHAnsi" w:cstheme="majorHAnsi"/>
              </w:rPr>
              <w:t>.11</w:t>
            </w:r>
          </w:p>
        </w:tc>
      </w:tr>
      <w:tr w:rsidR="00F42A98" w:rsidRPr="00F42A98" w14:paraId="22B21283" w14:textId="77777777" w:rsidTr="00F42A98">
        <w:trPr>
          <w:trHeight w:val="255"/>
          <w:jc w:val="center"/>
        </w:trPr>
        <w:tc>
          <w:tcPr>
            <w:tcW w:w="421" w:type="dxa"/>
            <w:vAlign w:val="center"/>
          </w:tcPr>
          <w:p w14:paraId="10B5062A" w14:textId="77777777" w:rsidR="00F42A98" w:rsidRPr="00F42A98" w:rsidRDefault="00F42A98" w:rsidP="00A73215">
            <w:pPr>
              <w:pStyle w:val="Akapitzlist"/>
              <w:numPr>
                <w:ilvl w:val="0"/>
                <w:numId w:val="2"/>
              </w:numPr>
              <w:spacing w:line="240" w:lineRule="auto"/>
              <w:rPr>
                <w:rFonts w:asciiTheme="majorHAnsi" w:hAnsiTheme="majorHAnsi" w:cstheme="majorHAnsi"/>
                <w:b/>
              </w:rPr>
            </w:pPr>
          </w:p>
        </w:tc>
        <w:tc>
          <w:tcPr>
            <w:tcW w:w="8646" w:type="dxa"/>
            <w:shd w:val="clear" w:color="auto" w:fill="auto"/>
            <w:vAlign w:val="center"/>
          </w:tcPr>
          <w:p w14:paraId="0BBA23E5" w14:textId="77777777" w:rsidR="00F42A98" w:rsidRPr="00F42A98" w:rsidRDefault="00F42A98" w:rsidP="00114DF4">
            <w:pPr>
              <w:pStyle w:val="Akapitzlist"/>
              <w:spacing w:line="240" w:lineRule="auto"/>
              <w:ind w:left="-98"/>
              <w:jc w:val="both"/>
              <w:rPr>
                <w:rFonts w:asciiTheme="majorHAnsi" w:hAnsiTheme="majorHAnsi" w:cstheme="majorHAnsi"/>
                <w:b/>
              </w:rPr>
            </w:pPr>
            <w:r w:rsidRPr="00F42A98">
              <w:rPr>
                <w:rFonts w:asciiTheme="majorHAnsi" w:hAnsiTheme="majorHAnsi" w:cstheme="majorHAnsi"/>
                <w:b/>
              </w:rPr>
              <w:t xml:space="preserve">Próchnica zębów mlecznych i stałych – przyczyny, rozpoznawanie, diagnozowanie, przebieg, rodzaje. </w:t>
            </w:r>
          </w:p>
          <w:p w14:paraId="7EFFC93A" w14:textId="77777777" w:rsidR="00F42A98" w:rsidRPr="00F42A98" w:rsidRDefault="00F42A98" w:rsidP="00114DF4">
            <w:pPr>
              <w:pStyle w:val="Akapitzlist"/>
              <w:spacing w:after="0" w:line="240" w:lineRule="auto"/>
              <w:ind w:left="-98"/>
              <w:jc w:val="both"/>
              <w:rPr>
                <w:rFonts w:asciiTheme="majorHAnsi" w:hAnsiTheme="majorHAnsi" w:cstheme="majorHAnsi"/>
              </w:rPr>
            </w:pPr>
            <w:r w:rsidRPr="00F42A98">
              <w:rPr>
                <w:rFonts w:asciiTheme="majorHAnsi" w:hAnsiTheme="majorHAnsi" w:cstheme="majorHAnsi"/>
              </w:rPr>
              <w:t xml:space="preserve">Podział próchnicy (ze względu na przebieg, zaawansowanie). Klasyfikacja próchnicy wg </w:t>
            </w:r>
            <w:proofErr w:type="spellStart"/>
            <w:r w:rsidRPr="00F42A98">
              <w:rPr>
                <w:rFonts w:asciiTheme="majorHAnsi" w:hAnsiTheme="majorHAnsi" w:cstheme="majorHAnsi"/>
              </w:rPr>
              <w:t>Lasfenquesa</w:t>
            </w:r>
            <w:proofErr w:type="spellEnd"/>
            <w:r w:rsidRPr="00F42A98">
              <w:rPr>
                <w:rFonts w:asciiTheme="majorHAnsi" w:hAnsiTheme="majorHAnsi" w:cstheme="majorHAnsi"/>
              </w:rPr>
              <w:t>, Kaleka i Louisa). Metody jakościowe i ilościowe diagnozowania próchnicy. ECC (definicja, przyczyny, objawy i cechy charakterystyczne). Okna infekcyjności próchnicy. Cechy zębów mlecznych sprzyjające próchnicy. Próchnica zębów stałych niedojrzałych (miejsca predysponowane do próchnicy, charakterystyka, czynniki sprzyjające powstawaniu. Następstwa nieleczonej próchnicy u dzieci.</w:t>
            </w:r>
          </w:p>
        </w:tc>
        <w:tc>
          <w:tcPr>
            <w:tcW w:w="2121" w:type="dxa"/>
            <w:vAlign w:val="center"/>
          </w:tcPr>
          <w:p w14:paraId="35D7A963" w14:textId="3CAA699C" w:rsidR="00F42A98" w:rsidRPr="00F42A98"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20.11</w:t>
            </w:r>
            <w:r w:rsidRPr="00F42A98">
              <w:rPr>
                <w:rFonts w:asciiTheme="majorHAnsi" w:hAnsiTheme="majorHAnsi" w:cstheme="majorHAnsi"/>
              </w:rPr>
              <w:br/>
            </w:r>
            <w:r>
              <w:rPr>
                <w:rFonts w:asciiTheme="majorHAnsi" w:hAnsiTheme="majorHAnsi" w:cstheme="majorHAnsi"/>
                <w:b/>
              </w:rPr>
              <w:t xml:space="preserve">S1: </w:t>
            </w:r>
            <w:r w:rsidR="002470E8">
              <w:rPr>
                <w:rFonts w:asciiTheme="majorHAnsi" w:hAnsiTheme="majorHAnsi" w:cstheme="majorHAnsi"/>
                <w:b/>
              </w:rPr>
              <w:t>21</w:t>
            </w:r>
            <w:r>
              <w:rPr>
                <w:rFonts w:asciiTheme="majorHAnsi" w:hAnsiTheme="majorHAnsi" w:cstheme="majorHAnsi"/>
              </w:rPr>
              <w:t>.11</w:t>
            </w:r>
          </w:p>
          <w:p w14:paraId="2D8A036C" w14:textId="77777777" w:rsidR="00F42A98" w:rsidRPr="00F42A98" w:rsidRDefault="00F42A98" w:rsidP="00F42A98">
            <w:pPr>
              <w:pStyle w:val="Akapitzlist"/>
              <w:spacing w:line="240" w:lineRule="auto"/>
              <w:ind w:left="284" w:hanging="280"/>
            </w:pPr>
            <w:r w:rsidRPr="00F42A98">
              <w:rPr>
                <w:rFonts w:asciiTheme="majorHAnsi" w:hAnsiTheme="majorHAnsi" w:cstheme="majorHAnsi"/>
                <w:b/>
              </w:rPr>
              <w:t>S4</w:t>
            </w:r>
            <w:r>
              <w:rPr>
                <w:rFonts w:asciiTheme="majorHAnsi" w:hAnsiTheme="majorHAnsi" w:cstheme="majorHAnsi"/>
                <w:b/>
              </w:rPr>
              <w:t xml:space="preserve">: </w:t>
            </w:r>
            <w:r w:rsidR="007209E8">
              <w:t>22</w:t>
            </w:r>
            <w:r>
              <w:t>.11</w:t>
            </w:r>
          </w:p>
        </w:tc>
      </w:tr>
      <w:tr w:rsidR="00F42A98" w:rsidRPr="00F42A98" w14:paraId="117ABE26" w14:textId="77777777" w:rsidTr="00F42A98">
        <w:trPr>
          <w:trHeight w:val="255"/>
          <w:jc w:val="center"/>
        </w:trPr>
        <w:tc>
          <w:tcPr>
            <w:tcW w:w="421" w:type="dxa"/>
            <w:vAlign w:val="center"/>
          </w:tcPr>
          <w:p w14:paraId="247D01FC" w14:textId="77777777" w:rsidR="00F42A98" w:rsidRPr="00F42A98" w:rsidRDefault="00F42A98" w:rsidP="00A73215">
            <w:pPr>
              <w:pStyle w:val="Tre"/>
              <w:numPr>
                <w:ilvl w:val="0"/>
                <w:numId w:val="2"/>
              </w:numPr>
              <w:rPr>
                <w:rFonts w:asciiTheme="majorHAnsi" w:hAnsiTheme="majorHAnsi" w:cstheme="majorHAnsi"/>
                <w:b/>
              </w:rPr>
            </w:pPr>
          </w:p>
        </w:tc>
        <w:tc>
          <w:tcPr>
            <w:tcW w:w="8646" w:type="dxa"/>
            <w:shd w:val="clear" w:color="auto" w:fill="auto"/>
            <w:vAlign w:val="center"/>
          </w:tcPr>
          <w:p w14:paraId="6AC1E494" w14:textId="77777777" w:rsidR="00F42A98" w:rsidRPr="00F42A98" w:rsidRDefault="00F42A98" w:rsidP="00114DF4">
            <w:pPr>
              <w:pStyle w:val="Tre"/>
              <w:ind w:left="-98"/>
              <w:jc w:val="both"/>
              <w:rPr>
                <w:rFonts w:asciiTheme="majorHAnsi" w:hAnsiTheme="majorHAnsi" w:cstheme="majorHAnsi"/>
              </w:rPr>
            </w:pPr>
            <w:r w:rsidRPr="00F42A98">
              <w:rPr>
                <w:rFonts w:asciiTheme="majorHAnsi" w:hAnsiTheme="majorHAnsi" w:cstheme="majorHAnsi"/>
                <w:b/>
              </w:rPr>
              <w:t>Metody wspomagania remineralizacji</w:t>
            </w:r>
            <w:r w:rsidRPr="00F42A98">
              <w:rPr>
                <w:rFonts w:asciiTheme="majorHAnsi" w:hAnsiTheme="majorHAnsi" w:cstheme="majorHAnsi"/>
              </w:rPr>
              <w:t>:</w:t>
            </w:r>
          </w:p>
          <w:p w14:paraId="2B6AFF46" w14:textId="77777777" w:rsidR="00F42A98" w:rsidRPr="00F42A98" w:rsidRDefault="00F42A98" w:rsidP="00114DF4">
            <w:pPr>
              <w:pStyle w:val="Akapitzlist"/>
              <w:spacing w:after="0" w:line="240" w:lineRule="auto"/>
              <w:ind w:left="-98"/>
              <w:jc w:val="both"/>
              <w:rPr>
                <w:rFonts w:asciiTheme="majorHAnsi" w:hAnsiTheme="majorHAnsi" w:cstheme="majorHAnsi"/>
              </w:rPr>
            </w:pPr>
            <w:r w:rsidRPr="00F42A98">
              <w:rPr>
                <w:rFonts w:asciiTheme="majorHAnsi" w:hAnsiTheme="majorHAnsi" w:cstheme="majorHAnsi"/>
              </w:rPr>
              <w:t xml:space="preserve">Plama próchnicowa (definicja, obraz histologiczny i kliniczny, aktywność). Mechanizm i warunki remineralizacji zmian próchnicowych ograniczonych do szkliwa (ograniczenie wpływu bakterii, podniesienie pH środowiska jamy ustnej, niezbędne jony). Stymulacja wydzielania śliny (guma do żucia, sposoby odżywiania, stymulacja farmakologiczna, inne). Metody i środki wykorzystywane w remineralizacji plam próchnicowych – fluor (środki zawierające niskie i wysokie stężenia jonów F), jony wapniowe i fosforanowe (ACP, CPP-ACP, CPP-ACPF, CSPS, TCP, </w:t>
            </w:r>
            <w:proofErr w:type="spellStart"/>
            <w:r w:rsidRPr="00F42A98">
              <w:rPr>
                <w:rFonts w:asciiTheme="majorHAnsi" w:hAnsiTheme="majorHAnsi" w:cstheme="majorHAnsi"/>
              </w:rPr>
              <w:t>hydroksyapatyt</w:t>
            </w:r>
            <w:proofErr w:type="spellEnd"/>
            <w:r w:rsidRPr="00F42A98">
              <w:rPr>
                <w:rFonts w:asciiTheme="majorHAnsi" w:hAnsiTheme="majorHAnsi" w:cstheme="majorHAnsi"/>
              </w:rPr>
              <w:t>)</w:t>
            </w:r>
          </w:p>
        </w:tc>
        <w:tc>
          <w:tcPr>
            <w:tcW w:w="2121" w:type="dxa"/>
            <w:vAlign w:val="center"/>
          </w:tcPr>
          <w:p w14:paraId="42CFDD6C" w14:textId="1F178332" w:rsidR="00F42A98" w:rsidRPr="00F42A98"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27.11</w:t>
            </w:r>
            <w:r w:rsidRPr="00F42A98">
              <w:rPr>
                <w:rFonts w:asciiTheme="majorHAnsi" w:hAnsiTheme="majorHAnsi" w:cstheme="majorHAnsi"/>
              </w:rPr>
              <w:br/>
            </w:r>
            <w:r>
              <w:rPr>
                <w:rFonts w:asciiTheme="majorHAnsi" w:hAnsiTheme="majorHAnsi" w:cstheme="majorHAnsi"/>
                <w:b/>
              </w:rPr>
              <w:t xml:space="preserve">S1: </w:t>
            </w:r>
            <w:r w:rsidR="00FC3197">
              <w:rPr>
                <w:rFonts w:asciiTheme="majorHAnsi" w:hAnsiTheme="majorHAnsi" w:cstheme="majorHAnsi"/>
              </w:rPr>
              <w:t>2</w:t>
            </w:r>
            <w:r w:rsidR="002470E8">
              <w:rPr>
                <w:rFonts w:asciiTheme="majorHAnsi" w:hAnsiTheme="majorHAnsi" w:cstheme="majorHAnsi"/>
              </w:rPr>
              <w:t>8</w:t>
            </w:r>
            <w:r w:rsidR="009C544A">
              <w:rPr>
                <w:rFonts w:asciiTheme="majorHAnsi" w:hAnsiTheme="majorHAnsi" w:cstheme="majorHAnsi"/>
              </w:rPr>
              <w:t>.11</w:t>
            </w:r>
          </w:p>
          <w:p w14:paraId="3B6E4C88" w14:textId="77777777" w:rsidR="00F42A98" w:rsidRPr="00F42A98" w:rsidRDefault="00F42A98" w:rsidP="00F42A98">
            <w:pPr>
              <w:pStyle w:val="Akapitzlist"/>
              <w:spacing w:line="240" w:lineRule="auto"/>
              <w:ind w:left="284" w:hanging="280"/>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 xml:space="preserve">: </w:t>
            </w:r>
            <w:r w:rsidR="007209E8">
              <w:rPr>
                <w:rFonts w:asciiTheme="majorHAnsi" w:hAnsiTheme="majorHAnsi" w:cstheme="majorHAnsi"/>
              </w:rPr>
              <w:t>29.11</w:t>
            </w:r>
          </w:p>
        </w:tc>
      </w:tr>
      <w:tr w:rsidR="00F42A98" w:rsidRPr="00F42A98" w14:paraId="2748C9A8" w14:textId="77777777" w:rsidTr="00F42A98">
        <w:trPr>
          <w:trHeight w:val="255"/>
          <w:jc w:val="center"/>
        </w:trPr>
        <w:tc>
          <w:tcPr>
            <w:tcW w:w="421" w:type="dxa"/>
            <w:vAlign w:val="center"/>
          </w:tcPr>
          <w:p w14:paraId="2CDD68E2" w14:textId="77777777" w:rsidR="00F42A98" w:rsidRPr="00F42A98" w:rsidRDefault="00F42A98" w:rsidP="00A73215">
            <w:pPr>
              <w:pStyle w:val="Akapitzlist"/>
              <w:numPr>
                <w:ilvl w:val="0"/>
                <w:numId w:val="2"/>
              </w:numPr>
              <w:spacing w:after="0" w:line="240" w:lineRule="auto"/>
              <w:rPr>
                <w:rFonts w:asciiTheme="majorHAnsi" w:hAnsiTheme="majorHAnsi" w:cstheme="majorHAnsi"/>
                <w:b/>
              </w:rPr>
            </w:pPr>
          </w:p>
        </w:tc>
        <w:tc>
          <w:tcPr>
            <w:tcW w:w="8646" w:type="dxa"/>
            <w:shd w:val="clear" w:color="auto" w:fill="auto"/>
            <w:vAlign w:val="center"/>
          </w:tcPr>
          <w:p w14:paraId="450D7EF7" w14:textId="77777777" w:rsidR="00F42A98" w:rsidRPr="00F42A98" w:rsidRDefault="00F42A98" w:rsidP="00114DF4">
            <w:pPr>
              <w:pStyle w:val="Akapitzlist"/>
              <w:spacing w:after="0" w:line="240" w:lineRule="auto"/>
              <w:ind w:left="-98"/>
              <w:jc w:val="both"/>
              <w:rPr>
                <w:rFonts w:asciiTheme="majorHAnsi" w:hAnsiTheme="majorHAnsi" w:cstheme="majorHAnsi"/>
              </w:rPr>
            </w:pPr>
            <w:r w:rsidRPr="00F42A98">
              <w:rPr>
                <w:rFonts w:asciiTheme="majorHAnsi" w:hAnsiTheme="majorHAnsi" w:cstheme="majorHAnsi"/>
                <w:b/>
              </w:rPr>
              <w:t>Metody leczenia próchnicy  inwazyjne</w:t>
            </w:r>
            <w:r w:rsidRPr="00F42A98">
              <w:rPr>
                <w:rFonts w:asciiTheme="majorHAnsi" w:hAnsiTheme="majorHAnsi" w:cstheme="majorHAnsi"/>
              </w:rPr>
              <w:t>.</w:t>
            </w:r>
          </w:p>
          <w:p w14:paraId="31CCB3E8" w14:textId="77777777" w:rsidR="00F42A98" w:rsidRPr="00F42A98" w:rsidRDefault="00F42A98" w:rsidP="00114DF4">
            <w:pPr>
              <w:pStyle w:val="Akapitzlist"/>
              <w:spacing w:after="0" w:line="240" w:lineRule="auto"/>
              <w:ind w:left="-98"/>
              <w:jc w:val="both"/>
              <w:rPr>
                <w:rFonts w:asciiTheme="majorHAnsi" w:hAnsiTheme="majorHAnsi" w:cstheme="majorHAnsi"/>
              </w:rPr>
            </w:pPr>
            <w:r w:rsidRPr="00F42A98">
              <w:rPr>
                <w:rFonts w:asciiTheme="majorHAnsi" w:hAnsiTheme="majorHAnsi" w:cstheme="majorHAnsi"/>
              </w:rPr>
              <w:t xml:space="preserve">Strategia MID. Materiały zalecane do wypełnienia ubytków u dzieci (rodzaje, zalety, wady). Technika kanapkowa (rodzaje, materiały, wskazania). Dyskowanie (definicja, zalety, wady, materiały). </w:t>
            </w:r>
            <w:proofErr w:type="spellStart"/>
            <w:r w:rsidRPr="00F42A98">
              <w:rPr>
                <w:rFonts w:asciiTheme="majorHAnsi" w:hAnsiTheme="majorHAnsi" w:cstheme="majorHAnsi"/>
              </w:rPr>
              <w:t>Inpregnacja</w:t>
            </w:r>
            <w:proofErr w:type="spellEnd"/>
            <w:r w:rsidRPr="00F42A98">
              <w:rPr>
                <w:rFonts w:asciiTheme="majorHAnsi" w:hAnsiTheme="majorHAnsi" w:cstheme="majorHAnsi"/>
              </w:rPr>
              <w:t xml:space="preserve"> (wskazania, przeciwskazania, preparaty, technika zabiegu, przyczyny niepowodzenia). Powidonek jodu (preparaty, wskazania). ITR (definicja, wskazania, sposób postępowania). Korony stalowe (wskazania, przeciwskazania, etapy postępowania).</w:t>
            </w:r>
          </w:p>
        </w:tc>
        <w:tc>
          <w:tcPr>
            <w:tcW w:w="2121" w:type="dxa"/>
            <w:vAlign w:val="center"/>
          </w:tcPr>
          <w:p w14:paraId="151E8D85" w14:textId="1C2ED38C" w:rsidR="00F42A98" w:rsidRPr="007149A3"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04.12.</w:t>
            </w:r>
            <w:r w:rsidRPr="00F42A98">
              <w:rPr>
                <w:rFonts w:asciiTheme="majorHAnsi" w:hAnsiTheme="majorHAnsi" w:cstheme="majorHAnsi"/>
              </w:rPr>
              <w:br/>
            </w:r>
            <w:r>
              <w:rPr>
                <w:rFonts w:asciiTheme="majorHAnsi" w:hAnsiTheme="majorHAnsi" w:cstheme="majorHAnsi"/>
                <w:b/>
              </w:rPr>
              <w:t xml:space="preserve">S1: </w:t>
            </w:r>
            <w:r w:rsidR="002470E8">
              <w:rPr>
                <w:rFonts w:asciiTheme="majorHAnsi" w:hAnsiTheme="majorHAnsi" w:cstheme="majorHAnsi"/>
                <w:b/>
              </w:rPr>
              <w:t>05</w:t>
            </w:r>
            <w:r w:rsidR="00FC3197">
              <w:rPr>
                <w:rFonts w:asciiTheme="majorHAnsi" w:hAnsiTheme="majorHAnsi" w:cstheme="majorHAnsi"/>
              </w:rPr>
              <w:t>.1</w:t>
            </w:r>
            <w:r w:rsidR="002470E8">
              <w:rPr>
                <w:rFonts w:asciiTheme="majorHAnsi" w:hAnsiTheme="majorHAnsi" w:cstheme="majorHAnsi"/>
              </w:rPr>
              <w:t>2</w:t>
            </w:r>
          </w:p>
          <w:p w14:paraId="5027F0AC" w14:textId="77777777" w:rsidR="00F42A98" w:rsidRPr="007149A3" w:rsidRDefault="00F42A98" w:rsidP="00F42A98">
            <w:pPr>
              <w:pStyle w:val="Akapitzlist"/>
              <w:spacing w:line="240" w:lineRule="auto"/>
              <w:ind w:left="284" w:hanging="280"/>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w:t>
            </w:r>
            <w:r w:rsidR="007149A3">
              <w:rPr>
                <w:rFonts w:asciiTheme="majorHAnsi" w:hAnsiTheme="majorHAnsi" w:cstheme="majorHAnsi"/>
                <w:b/>
              </w:rPr>
              <w:t xml:space="preserve"> </w:t>
            </w:r>
            <w:r w:rsidR="007209E8">
              <w:rPr>
                <w:rFonts w:asciiTheme="majorHAnsi" w:hAnsiTheme="majorHAnsi" w:cstheme="majorHAnsi"/>
              </w:rPr>
              <w:t>06</w:t>
            </w:r>
            <w:r w:rsidR="007149A3">
              <w:rPr>
                <w:rFonts w:asciiTheme="majorHAnsi" w:hAnsiTheme="majorHAnsi" w:cstheme="majorHAnsi"/>
              </w:rPr>
              <w:t>.12</w:t>
            </w:r>
          </w:p>
        </w:tc>
      </w:tr>
      <w:tr w:rsidR="00F42A98" w:rsidRPr="00F42A98" w14:paraId="1AC38D06" w14:textId="77777777" w:rsidTr="00F42A98">
        <w:trPr>
          <w:trHeight w:val="255"/>
          <w:jc w:val="center"/>
        </w:trPr>
        <w:tc>
          <w:tcPr>
            <w:tcW w:w="421" w:type="dxa"/>
            <w:vAlign w:val="center"/>
          </w:tcPr>
          <w:p w14:paraId="2E6CFD56" w14:textId="77777777" w:rsidR="00F42A98" w:rsidRPr="00F42A98" w:rsidRDefault="00F42A98" w:rsidP="00A73215">
            <w:pPr>
              <w:pStyle w:val="Akapitzlist"/>
              <w:numPr>
                <w:ilvl w:val="0"/>
                <w:numId w:val="2"/>
              </w:numPr>
              <w:spacing w:after="0"/>
              <w:rPr>
                <w:rFonts w:asciiTheme="majorHAnsi" w:hAnsiTheme="majorHAnsi" w:cstheme="majorHAnsi"/>
                <w:b/>
              </w:rPr>
            </w:pPr>
          </w:p>
        </w:tc>
        <w:tc>
          <w:tcPr>
            <w:tcW w:w="8646" w:type="dxa"/>
            <w:shd w:val="clear" w:color="auto" w:fill="auto"/>
            <w:vAlign w:val="center"/>
          </w:tcPr>
          <w:p w14:paraId="263F94C6" w14:textId="77777777" w:rsidR="00F42A98" w:rsidRPr="00F42A98" w:rsidRDefault="00F42A98" w:rsidP="004650F6">
            <w:pPr>
              <w:spacing w:after="0"/>
              <w:jc w:val="both"/>
              <w:rPr>
                <w:rFonts w:asciiTheme="majorHAnsi" w:hAnsiTheme="majorHAnsi" w:cstheme="majorHAnsi"/>
              </w:rPr>
            </w:pPr>
            <w:r w:rsidRPr="00F42A98">
              <w:rPr>
                <w:rFonts w:asciiTheme="majorHAnsi" w:hAnsiTheme="majorHAnsi" w:cstheme="majorHAnsi"/>
                <w:b/>
              </w:rPr>
              <w:t>Żywienie a zdrowie jamy ustnej</w:t>
            </w:r>
            <w:r w:rsidRPr="00F42A98">
              <w:rPr>
                <w:rFonts w:asciiTheme="majorHAnsi" w:hAnsiTheme="majorHAnsi" w:cstheme="majorHAnsi"/>
              </w:rPr>
              <w:t>:</w:t>
            </w:r>
          </w:p>
          <w:p w14:paraId="703B432C" w14:textId="77777777" w:rsidR="00F42A98" w:rsidRPr="00F42A98" w:rsidRDefault="00F42A98" w:rsidP="00114DF4">
            <w:pPr>
              <w:pStyle w:val="Akapitzlist"/>
              <w:spacing w:after="0" w:line="240" w:lineRule="auto"/>
              <w:ind w:left="-98"/>
              <w:jc w:val="both"/>
              <w:rPr>
                <w:rFonts w:asciiTheme="majorHAnsi" w:hAnsiTheme="majorHAnsi" w:cstheme="majorHAnsi"/>
              </w:rPr>
            </w:pPr>
            <w:r w:rsidRPr="00F42A98">
              <w:rPr>
                <w:rFonts w:asciiTheme="majorHAnsi" w:hAnsiTheme="majorHAnsi" w:cstheme="majorHAnsi"/>
              </w:rPr>
              <w:t xml:space="preserve">Dieta a </w:t>
            </w:r>
            <w:proofErr w:type="spellStart"/>
            <w:r w:rsidRPr="00F42A98">
              <w:rPr>
                <w:rFonts w:asciiTheme="majorHAnsi" w:hAnsiTheme="majorHAnsi" w:cstheme="majorHAnsi"/>
              </w:rPr>
              <w:t>odontogeneza</w:t>
            </w:r>
            <w:proofErr w:type="spellEnd"/>
            <w:r w:rsidRPr="00F42A98">
              <w:rPr>
                <w:rFonts w:asciiTheme="majorHAnsi" w:hAnsiTheme="majorHAnsi" w:cstheme="majorHAnsi"/>
              </w:rPr>
              <w:t xml:space="preserve"> (znaczenie białek, witamin i mikroelementów). Piramida żywienia </w:t>
            </w:r>
            <w:r>
              <w:rPr>
                <w:rFonts w:asciiTheme="majorHAnsi" w:hAnsiTheme="majorHAnsi" w:cstheme="majorHAnsi"/>
              </w:rPr>
              <w:br/>
            </w:r>
            <w:r w:rsidRPr="00F42A98">
              <w:rPr>
                <w:rFonts w:asciiTheme="majorHAnsi" w:hAnsiTheme="majorHAnsi" w:cstheme="majorHAnsi"/>
              </w:rPr>
              <w:t xml:space="preserve">i zdrowego stylu życia. Sposób i jakość odżywiania. Produkty spożywcze </w:t>
            </w:r>
            <w:proofErr w:type="spellStart"/>
            <w:r w:rsidRPr="00F42A98">
              <w:rPr>
                <w:rFonts w:asciiTheme="majorHAnsi" w:hAnsiTheme="majorHAnsi" w:cstheme="majorHAnsi"/>
              </w:rPr>
              <w:t>kariogenne</w:t>
            </w:r>
            <w:proofErr w:type="spellEnd"/>
            <w:r w:rsidRPr="00F42A98">
              <w:rPr>
                <w:rFonts w:asciiTheme="majorHAnsi" w:hAnsiTheme="majorHAnsi" w:cstheme="majorHAnsi"/>
              </w:rPr>
              <w:t xml:space="preserve"> </w:t>
            </w:r>
            <w:r>
              <w:rPr>
                <w:rFonts w:asciiTheme="majorHAnsi" w:hAnsiTheme="majorHAnsi" w:cstheme="majorHAnsi"/>
              </w:rPr>
              <w:br/>
            </w:r>
            <w:r w:rsidRPr="00F42A98">
              <w:rPr>
                <w:rFonts w:asciiTheme="majorHAnsi" w:hAnsiTheme="majorHAnsi" w:cstheme="majorHAnsi"/>
              </w:rPr>
              <w:t xml:space="preserve">i </w:t>
            </w:r>
            <w:proofErr w:type="spellStart"/>
            <w:r w:rsidRPr="00F42A98">
              <w:rPr>
                <w:rFonts w:asciiTheme="majorHAnsi" w:hAnsiTheme="majorHAnsi" w:cstheme="majorHAnsi"/>
              </w:rPr>
              <w:t>kariostatyczne</w:t>
            </w:r>
            <w:proofErr w:type="spellEnd"/>
            <w:r w:rsidRPr="00F42A98">
              <w:rPr>
                <w:rFonts w:asciiTheme="majorHAnsi" w:hAnsiTheme="majorHAnsi" w:cstheme="majorHAnsi"/>
              </w:rPr>
              <w:t xml:space="preserve">. </w:t>
            </w:r>
            <w:proofErr w:type="spellStart"/>
            <w:r w:rsidRPr="00F42A98">
              <w:rPr>
                <w:rFonts w:asciiTheme="majorHAnsi" w:hAnsiTheme="majorHAnsi" w:cstheme="majorHAnsi"/>
              </w:rPr>
              <w:t>Probiotyki</w:t>
            </w:r>
            <w:proofErr w:type="spellEnd"/>
            <w:r w:rsidRPr="00F42A98">
              <w:rPr>
                <w:rFonts w:asciiTheme="majorHAnsi" w:hAnsiTheme="majorHAnsi" w:cstheme="majorHAnsi"/>
              </w:rPr>
              <w:t xml:space="preserve"> w zapobieganiu próchnicy. Sposób oceny diety pacjenta. Najczęściej popełniane błędy dietetyczne w poszczególnych grupach wiekowych. Zalecenia dietetyczne w zależności od wieku dziecka.</w:t>
            </w:r>
          </w:p>
          <w:p w14:paraId="2C8CE79F" w14:textId="77777777" w:rsidR="00F42A98" w:rsidRPr="00F42A98" w:rsidRDefault="00F42A98" w:rsidP="00114DF4">
            <w:pPr>
              <w:pStyle w:val="Akapitzlist"/>
              <w:spacing w:after="0"/>
              <w:ind w:left="-98"/>
              <w:jc w:val="both"/>
              <w:rPr>
                <w:rFonts w:asciiTheme="majorHAnsi" w:hAnsiTheme="majorHAnsi" w:cstheme="majorHAnsi"/>
                <w:szCs w:val="23"/>
              </w:rPr>
            </w:pPr>
            <w:r w:rsidRPr="00F42A98">
              <w:rPr>
                <w:rFonts w:asciiTheme="majorHAnsi" w:hAnsiTheme="majorHAnsi" w:cstheme="majorHAnsi"/>
                <w:b/>
                <w:szCs w:val="23"/>
              </w:rPr>
              <w:t>Wzrastanie dziecka i jego rozwój psychomotoryczny</w:t>
            </w:r>
            <w:r w:rsidRPr="00F42A98">
              <w:rPr>
                <w:rFonts w:asciiTheme="majorHAnsi" w:hAnsiTheme="majorHAnsi" w:cstheme="majorHAnsi"/>
                <w:szCs w:val="23"/>
              </w:rPr>
              <w:t>.</w:t>
            </w:r>
          </w:p>
          <w:p w14:paraId="349E8352" w14:textId="77777777" w:rsidR="00F42A98" w:rsidRPr="00F42A98" w:rsidRDefault="00F42A98" w:rsidP="00114DF4">
            <w:pPr>
              <w:pStyle w:val="Akapitzlist"/>
              <w:spacing w:after="0" w:line="240" w:lineRule="auto"/>
              <w:ind w:left="-98"/>
              <w:jc w:val="both"/>
              <w:rPr>
                <w:rFonts w:asciiTheme="majorHAnsi" w:hAnsiTheme="majorHAnsi" w:cstheme="majorHAnsi"/>
              </w:rPr>
            </w:pPr>
            <w:r w:rsidRPr="00F42A98">
              <w:rPr>
                <w:rFonts w:asciiTheme="majorHAnsi" w:hAnsiTheme="majorHAnsi" w:cstheme="majorHAnsi"/>
                <w:szCs w:val="23"/>
              </w:rPr>
              <w:t xml:space="preserve">Rozwój fizyczny (BMI, siatki centylowe). Rozwój psychospołeczny. Teoria </w:t>
            </w:r>
            <w:proofErr w:type="spellStart"/>
            <w:r w:rsidRPr="00F42A98">
              <w:rPr>
                <w:rFonts w:asciiTheme="majorHAnsi" w:hAnsiTheme="majorHAnsi" w:cstheme="majorHAnsi"/>
                <w:szCs w:val="23"/>
              </w:rPr>
              <w:t>Eriksona</w:t>
            </w:r>
            <w:proofErr w:type="spellEnd"/>
            <w:r w:rsidRPr="00F42A98">
              <w:rPr>
                <w:rFonts w:asciiTheme="majorHAnsi" w:hAnsiTheme="majorHAnsi" w:cstheme="majorHAnsi"/>
                <w:szCs w:val="23"/>
              </w:rPr>
              <w:t>. Teoria Piageta (okres sensoryczno-motoryczny, okres przedoperacyjny, okres operacji konkretnych, okres operacji formalnych</w:t>
            </w:r>
          </w:p>
        </w:tc>
        <w:tc>
          <w:tcPr>
            <w:tcW w:w="2121" w:type="dxa"/>
            <w:vAlign w:val="center"/>
          </w:tcPr>
          <w:p w14:paraId="4020C259" w14:textId="4566BFAA" w:rsidR="00F42A98" w:rsidRPr="007149A3"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11.12</w:t>
            </w:r>
            <w:r w:rsidRPr="00F42A98">
              <w:rPr>
                <w:rFonts w:asciiTheme="majorHAnsi" w:hAnsiTheme="majorHAnsi" w:cstheme="majorHAnsi"/>
              </w:rPr>
              <w:br/>
            </w:r>
            <w:r>
              <w:rPr>
                <w:rFonts w:asciiTheme="majorHAnsi" w:hAnsiTheme="majorHAnsi" w:cstheme="majorHAnsi"/>
                <w:b/>
              </w:rPr>
              <w:t xml:space="preserve">S1: </w:t>
            </w:r>
            <w:r w:rsidR="002470E8">
              <w:rPr>
                <w:rFonts w:asciiTheme="majorHAnsi" w:hAnsiTheme="majorHAnsi" w:cstheme="majorHAnsi"/>
                <w:b/>
              </w:rPr>
              <w:t>12</w:t>
            </w:r>
            <w:r w:rsidR="007149A3">
              <w:rPr>
                <w:rFonts w:asciiTheme="majorHAnsi" w:hAnsiTheme="majorHAnsi" w:cstheme="majorHAnsi"/>
              </w:rPr>
              <w:t>.12</w:t>
            </w:r>
          </w:p>
          <w:p w14:paraId="43CC96D7" w14:textId="77777777" w:rsidR="00F42A98" w:rsidRPr="007149A3" w:rsidRDefault="00F42A98" w:rsidP="00F42A98">
            <w:pPr>
              <w:pStyle w:val="Akapitzlist"/>
              <w:spacing w:line="240" w:lineRule="auto"/>
              <w:ind w:left="284" w:hanging="280"/>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w:t>
            </w:r>
            <w:r w:rsidR="007149A3">
              <w:rPr>
                <w:rFonts w:asciiTheme="majorHAnsi" w:hAnsiTheme="majorHAnsi" w:cstheme="majorHAnsi"/>
                <w:b/>
              </w:rPr>
              <w:t xml:space="preserve"> </w:t>
            </w:r>
            <w:r w:rsidR="007209E8">
              <w:rPr>
                <w:rFonts w:asciiTheme="majorHAnsi" w:hAnsiTheme="majorHAnsi" w:cstheme="majorHAnsi"/>
              </w:rPr>
              <w:t>13</w:t>
            </w:r>
            <w:r w:rsidR="007149A3">
              <w:rPr>
                <w:rFonts w:asciiTheme="majorHAnsi" w:hAnsiTheme="majorHAnsi" w:cstheme="majorHAnsi"/>
              </w:rPr>
              <w:t>.12</w:t>
            </w:r>
          </w:p>
        </w:tc>
      </w:tr>
      <w:tr w:rsidR="00F42A98" w:rsidRPr="00F42A98" w14:paraId="0305BEB2" w14:textId="77777777" w:rsidTr="00F42A98">
        <w:trPr>
          <w:trHeight w:val="255"/>
          <w:jc w:val="center"/>
        </w:trPr>
        <w:tc>
          <w:tcPr>
            <w:tcW w:w="421" w:type="dxa"/>
            <w:vAlign w:val="center"/>
          </w:tcPr>
          <w:p w14:paraId="5B05EDA1" w14:textId="77777777" w:rsidR="00F42A98" w:rsidRPr="00F42A98" w:rsidRDefault="00F42A98" w:rsidP="00A73215">
            <w:pPr>
              <w:pStyle w:val="Tre"/>
              <w:numPr>
                <w:ilvl w:val="0"/>
                <w:numId w:val="2"/>
              </w:numPr>
              <w:rPr>
                <w:rFonts w:asciiTheme="majorHAnsi" w:hAnsiTheme="majorHAnsi" w:cstheme="majorHAnsi"/>
                <w:b/>
              </w:rPr>
            </w:pPr>
          </w:p>
        </w:tc>
        <w:tc>
          <w:tcPr>
            <w:tcW w:w="8646" w:type="dxa"/>
            <w:shd w:val="clear" w:color="auto" w:fill="auto"/>
            <w:vAlign w:val="center"/>
          </w:tcPr>
          <w:p w14:paraId="0D7A1A26" w14:textId="77777777" w:rsidR="00F42A98" w:rsidRPr="00F42A98" w:rsidRDefault="00F42A98" w:rsidP="00114DF4">
            <w:pPr>
              <w:pStyle w:val="Tre"/>
              <w:ind w:left="-98"/>
              <w:jc w:val="both"/>
              <w:rPr>
                <w:rFonts w:asciiTheme="majorHAnsi" w:hAnsiTheme="majorHAnsi" w:cstheme="majorHAnsi"/>
              </w:rPr>
            </w:pPr>
            <w:r w:rsidRPr="00F42A98">
              <w:rPr>
                <w:rFonts w:asciiTheme="majorHAnsi" w:hAnsiTheme="majorHAnsi" w:cstheme="majorHAnsi"/>
                <w:b/>
              </w:rPr>
              <w:t>Dziecko w gabinecie stomatologicznym.</w:t>
            </w:r>
            <w:r w:rsidRPr="00F42A98">
              <w:rPr>
                <w:rFonts w:asciiTheme="majorHAnsi" w:hAnsiTheme="majorHAnsi" w:cstheme="majorHAnsi"/>
              </w:rPr>
              <w:t xml:space="preserve"> Czynniki wpływające na zachowanie dziecka. Czynniki  wywołujące stres w gabinecie stomatologicznym. Metody oceny lęku. Zachowanie dziecka w aspekcie rozwoju (skala </w:t>
            </w:r>
            <w:proofErr w:type="spellStart"/>
            <w:r w:rsidRPr="00F42A98">
              <w:rPr>
                <w:rFonts w:asciiTheme="majorHAnsi" w:hAnsiTheme="majorHAnsi" w:cstheme="majorHAnsi"/>
              </w:rPr>
              <w:t>Frankla</w:t>
            </w:r>
            <w:proofErr w:type="spellEnd"/>
            <w:r w:rsidRPr="00F42A98">
              <w:rPr>
                <w:rFonts w:asciiTheme="majorHAnsi" w:hAnsiTheme="majorHAnsi" w:cstheme="majorHAnsi"/>
              </w:rPr>
              <w:t xml:space="preserve">). Komunikacja w gabinecie stomatologicznym. Pierwsza wizyta adaptacyjna („kolano-kolano”, „trzymaj i lecz”). Metody behawioralne (metoda niewerbalnej komunikacji, metoda „powiedz-pokaż-zrób”, metoda kontroli głosem, pozytywne wzmocnienie, metoda odwracania uwagi, metoda naśladowania-modelowania, metoda sygnalizacji doznań bólowych, metoda wyciszania-zanikania, metoda </w:t>
            </w:r>
            <w:proofErr w:type="spellStart"/>
            <w:r w:rsidRPr="00F42A98">
              <w:rPr>
                <w:rFonts w:asciiTheme="majorHAnsi" w:hAnsiTheme="majorHAnsi" w:cstheme="majorHAnsi"/>
              </w:rPr>
              <w:t>desensytyzacji</w:t>
            </w:r>
            <w:proofErr w:type="spellEnd"/>
            <w:r w:rsidRPr="00F42A98">
              <w:rPr>
                <w:rFonts w:asciiTheme="majorHAnsi" w:hAnsiTheme="majorHAnsi" w:cstheme="majorHAnsi"/>
              </w:rPr>
              <w:t xml:space="preserve"> do inwazyjnego leczenia, </w:t>
            </w:r>
            <w:proofErr w:type="spellStart"/>
            <w:r w:rsidRPr="00F42A98">
              <w:rPr>
                <w:rFonts w:asciiTheme="majorHAnsi" w:hAnsiTheme="majorHAnsi" w:cstheme="majorHAnsi"/>
              </w:rPr>
              <w:t>negatywne-awersyjne</w:t>
            </w:r>
            <w:proofErr w:type="spellEnd"/>
            <w:r w:rsidRPr="00F42A98">
              <w:rPr>
                <w:rFonts w:asciiTheme="majorHAnsi" w:hAnsiTheme="majorHAnsi" w:cstheme="majorHAnsi"/>
              </w:rPr>
              <w:t xml:space="preserve"> uwarunkowanie, selektywne wykluczanie rodzica, metoda ochronnej stabilizacji dziecka). Postawy rodzica podczas leczenia dziecka.</w:t>
            </w:r>
          </w:p>
        </w:tc>
        <w:tc>
          <w:tcPr>
            <w:tcW w:w="2121" w:type="dxa"/>
            <w:vAlign w:val="center"/>
          </w:tcPr>
          <w:p w14:paraId="2049E36C" w14:textId="00141426" w:rsidR="00F42A98" w:rsidRPr="007149A3"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18.12</w:t>
            </w:r>
            <w:r w:rsidRPr="00F42A98">
              <w:rPr>
                <w:rFonts w:asciiTheme="majorHAnsi" w:hAnsiTheme="majorHAnsi" w:cstheme="majorHAnsi"/>
              </w:rPr>
              <w:br/>
            </w:r>
            <w:r>
              <w:rPr>
                <w:rFonts w:asciiTheme="majorHAnsi" w:hAnsiTheme="majorHAnsi" w:cstheme="majorHAnsi"/>
                <w:b/>
              </w:rPr>
              <w:t xml:space="preserve">S1: </w:t>
            </w:r>
            <w:r w:rsidR="00FC3197">
              <w:rPr>
                <w:rFonts w:asciiTheme="majorHAnsi" w:hAnsiTheme="majorHAnsi" w:cstheme="majorHAnsi"/>
              </w:rPr>
              <w:t>1</w:t>
            </w:r>
            <w:r w:rsidR="002470E8">
              <w:rPr>
                <w:rFonts w:asciiTheme="majorHAnsi" w:hAnsiTheme="majorHAnsi" w:cstheme="majorHAnsi"/>
              </w:rPr>
              <w:t>9</w:t>
            </w:r>
            <w:r w:rsidR="009C544A">
              <w:rPr>
                <w:rFonts w:asciiTheme="majorHAnsi" w:hAnsiTheme="majorHAnsi" w:cstheme="majorHAnsi"/>
              </w:rPr>
              <w:t>.12</w:t>
            </w:r>
          </w:p>
          <w:p w14:paraId="4DA661E0" w14:textId="77777777" w:rsidR="00F42A98" w:rsidRPr="007149A3" w:rsidRDefault="00F42A98" w:rsidP="00F42A98">
            <w:pPr>
              <w:pStyle w:val="Akapitzlist"/>
              <w:spacing w:line="240" w:lineRule="auto"/>
              <w:ind w:left="284" w:hanging="280"/>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w:t>
            </w:r>
            <w:r w:rsidR="007209E8">
              <w:rPr>
                <w:rFonts w:asciiTheme="majorHAnsi" w:hAnsiTheme="majorHAnsi" w:cstheme="majorHAnsi"/>
              </w:rPr>
              <w:t>20.12</w:t>
            </w:r>
          </w:p>
        </w:tc>
      </w:tr>
      <w:tr w:rsidR="00F42A98" w:rsidRPr="00F42A98" w14:paraId="33CA784A" w14:textId="77777777" w:rsidTr="00F42A98">
        <w:trPr>
          <w:trHeight w:val="255"/>
          <w:jc w:val="center"/>
        </w:trPr>
        <w:tc>
          <w:tcPr>
            <w:tcW w:w="421" w:type="dxa"/>
            <w:vAlign w:val="center"/>
          </w:tcPr>
          <w:p w14:paraId="0E7170DC" w14:textId="77777777" w:rsidR="00F42A98" w:rsidRPr="00F42A98" w:rsidRDefault="00F42A98" w:rsidP="00A73215">
            <w:pPr>
              <w:pStyle w:val="Akapitzlist"/>
              <w:numPr>
                <w:ilvl w:val="0"/>
                <w:numId w:val="2"/>
              </w:numPr>
              <w:spacing w:after="0"/>
              <w:rPr>
                <w:rFonts w:asciiTheme="majorHAnsi" w:hAnsiTheme="majorHAnsi" w:cstheme="majorHAnsi"/>
                <w:b/>
              </w:rPr>
            </w:pPr>
          </w:p>
        </w:tc>
        <w:tc>
          <w:tcPr>
            <w:tcW w:w="8646" w:type="dxa"/>
            <w:shd w:val="clear" w:color="auto" w:fill="auto"/>
            <w:vAlign w:val="center"/>
          </w:tcPr>
          <w:p w14:paraId="31035243" w14:textId="77777777" w:rsidR="00F42A98" w:rsidRPr="00F42A98" w:rsidRDefault="00F42A98" w:rsidP="00114DF4">
            <w:pPr>
              <w:pStyle w:val="Akapitzlist"/>
              <w:spacing w:after="0"/>
              <w:ind w:left="-98"/>
              <w:jc w:val="both"/>
              <w:rPr>
                <w:rFonts w:asciiTheme="majorHAnsi" w:hAnsiTheme="majorHAnsi" w:cstheme="majorHAnsi"/>
              </w:rPr>
            </w:pPr>
            <w:r w:rsidRPr="00F42A98">
              <w:rPr>
                <w:rFonts w:asciiTheme="majorHAnsi" w:hAnsiTheme="majorHAnsi" w:cstheme="majorHAnsi"/>
                <w:b/>
              </w:rPr>
              <w:t>Premedykacja farmakologiczna.</w:t>
            </w:r>
            <w:r w:rsidRPr="00F42A98">
              <w:rPr>
                <w:rFonts w:asciiTheme="majorHAnsi" w:hAnsiTheme="majorHAnsi" w:cstheme="majorHAnsi"/>
              </w:rPr>
              <w:t xml:space="preserve"> Wskazania. Przeciwskazania w warunkach ambulatoryjnych. Stosowane leki (</w:t>
            </w:r>
            <w:proofErr w:type="spellStart"/>
            <w:r w:rsidRPr="00F42A98">
              <w:rPr>
                <w:rFonts w:asciiTheme="majorHAnsi" w:hAnsiTheme="majorHAnsi" w:cstheme="majorHAnsi"/>
              </w:rPr>
              <w:t>midazolam</w:t>
            </w:r>
            <w:proofErr w:type="spellEnd"/>
            <w:r w:rsidRPr="00F42A98">
              <w:rPr>
                <w:rFonts w:asciiTheme="majorHAnsi" w:hAnsiTheme="majorHAnsi" w:cstheme="majorHAnsi"/>
              </w:rPr>
              <w:t xml:space="preserve">, </w:t>
            </w:r>
            <w:proofErr w:type="spellStart"/>
            <w:r w:rsidRPr="00F42A98">
              <w:rPr>
                <w:rFonts w:asciiTheme="majorHAnsi" w:hAnsiTheme="majorHAnsi" w:cstheme="majorHAnsi"/>
              </w:rPr>
              <w:t>midazolam</w:t>
            </w:r>
            <w:proofErr w:type="spellEnd"/>
            <w:r w:rsidRPr="00F42A98">
              <w:rPr>
                <w:rFonts w:asciiTheme="majorHAnsi" w:hAnsiTheme="majorHAnsi" w:cstheme="majorHAnsi"/>
              </w:rPr>
              <w:t xml:space="preserve"> z </w:t>
            </w:r>
            <w:proofErr w:type="spellStart"/>
            <w:r w:rsidRPr="00F42A98">
              <w:rPr>
                <w:rFonts w:asciiTheme="majorHAnsi" w:hAnsiTheme="majorHAnsi" w:cstheme="majorHAnsi"/>
              </w:rPr>
              <w:t>ketaminą</w:t>
            </w:r>
            <w:proofErr w:type="spellEnd"/>
            <w:r w:rsidRPr="00F42A98">
              <w:rPr>
                <w:rFonts w:asciiTheme="majorHAnsi" w:hAnsiTheme="majorHAnsi" w:cstheme="majorHAnsi"/>
              </w:rPr>
              <w:t>, hydroksyzyna) – działanie, dawki. Leczenie przeciwbólowe doustne i miejscowe (leki i działanie). Sedacja a anestezja (cechy, powikłania). Skala ASA. Sedacja wziewna i znieczulenie ogólne – wskazania, powikłania.</w:t>
            </w:r>
          </w:p>
        </w:tc>
        <w:tc>
          <w:tcPr>
            <w:tcW w:w="2121" w:type="dxa"/>
            <w:vAlign w:val="center"/>
          </w:tcPr>
          <w:p w14:paraId="67779081" w14:textId="20F78636" w:rsidR="00F42A98" w:rsidRPr="007149A3"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08.01</w:t>
            </w:r>
            <w:r w:rsidRPr="00F42A98">
              <w:rPr>
                <w:rFonts w:asciiTheme="majorHAnsi" w:hAnsiTheme="majorHAnsi" w:cstheme="majorHAnsi"/>
              </w:rPr>
              <w:br/>
            </w:r>
            <w:r>
              <w:rPr>
                <w:rFonts w:asciiTheme="majorHAnsi" w:hAnsiTheme="majorHAnsi" w:cstheme="majorHAnsi"/>
                <w:b/>
              </w:rPr>
              <w:t xml:space="preserve">S1: </w:t>
            </w:r>
            <w:r w:rsidR="002470E8">
              <w:rPr>
                <w:rFonts w:asciiTheme="majorHAnsi" w:hAnsiTheme="majorHAnsi" w:cstheme="majorHAnsi"/>
                <w:b/>
              </w:rPr>
              <w:t>09</w:t>
            </w:r>
            <w:r w:rsidR="00FC3197">
              <w:rPr>
                <w:rFonts w:asciiTheme="majorHAnsi" w:hAnsiTheme="majorHAnsi" w:cstheme="majorHAnsi"/>
              </w:rPr>
              <w:t>.</w:t>
            </w:r>
            <w:r w:rsidR="002470E8">
              <w:rPr>
                <w:rFonts w:asciiTheme="majorHAnsi" w:hAnsiTheme="majorHAnsi" w:cstheme="majorHAnsi"/>
              </w:rPr>
              <w:t>01</w:t>
            </w:r>
          </w:p>
          <w:p w14:paraId="70EF9F98" w14:textId="77777777" w:rsidR="00F42A98" w:rsidRPr="007149A3" w:rsidRDefault="00F42A98" w:rsidP="00F42A98">
            <w:pPr>
              <w:pStyle w:val="Akapitzlist"/>
              <w:spacing w:line="240" w:lineRule="auto"/>
              <w:ind w:left="284" w:hanging="280"/>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w:t>
            </w:r>
            <w:r w:rsidR="007149A3">
              <w:rPr>
                <w:rFonts w:asciiTheme="majorHAnsi" w:hAnsiTheme="majorHAnsi" w:cstheme="majorHAnsi"/>
                <w:b/>
              </w:rPr>
              <w:t xml:space="preserve"> </w:t>
            </w:r>
            <w:r w:rsidR="007209E8">
              <w:rPr>
                <w:rFonts w:asciiTheme="majorHAnsi" w:hAnsiTheme="majorHAnsi" w:cstheme="majorHAnsi"/>
              </w:rPr>
              <w:t>10</w:t>
            </w:r>
            <w:r w:rsidR="007149A3">
              <w:rPr>
                <w:rFonts w:asciiTheme="majorHAnsi" w:hAnsiTheme="majorHAnsi" w:cstheme="majorHAnsi"/>
              </w:rPr>
              <w:t>.01</w:t>
            </w:r>
          </w:p>
        </w:tc>
      </w:tr>
      <w:tr w:rsidR="00F42A98" w:rsidRPr="00F42A98" w14:paraId="5C016431" w14:textId="77777777" w:rsidTr="00F42A98">
        <w:trPr>
          <w:trHeight w:val="255"/>
          <w:jc w:val="center"/>
        </w:trPr>
        <w:tc>
          <w:tcPr>
            <w:tcW w:w="421" w:type="dxa"/>
            <w:vAlign w:val="center"/>
          </w:tcPr>
          <w:p w14:paraId="79758246" w14:textId="77777777" w:rsidR="00F42A98" w:rsidRPr="00F42A98" w:rsidRDefault="00F42A98" w:rsidP="00A73215">
            <w:pPr>
              <w:pStyle w:val="Akapitzlist"/>
              <w:numPr>
                <w:ilvl w:val="0"/>
                <w:numId w:val="2"/>
              </w:numPr>
              <w:spacing w:after="0" w:line="240" w:lineRule="auto"/>
              <w:rPr>
                <w:rFonts w:asciiTheme="majorHAnsi" w:hAnsiTheme="majorHAnsi" w:cstheme="majorHAnsi"/>
                <w:b/>
                <w:szCs w:val="23"/>
                <w:u w:val="single"/>
              </w:rPr>
            </w:pPr>
          </w:p>
        </w:tc>
        <w:tc>
          <w:tcPr>
            <w:tcW w:w="8646" w:type="dxa"/>
            <w:shd w:val="clear" w:color="auto" w:fill="auto"/>
            <w:vAlign w:val="center"/>
          </w:tcPr>
          <w:p w14:paraId="2C13BE01" w14:textId="77777777" w:rsidR="00F42A98" w:rsidRPr="00F42A98" w:rsidRDefault="00F42A98" w:rsidP="00114DF4">
            <w:pPr>
              <w:pStyle w:val="Akapitzlist"/>
              <w:spacing w:after="0" w:line="240" w:lineRule="auto"/>
              <w:ind w:left="284" w:hanging="382"/>
              <w:jc w:val="both"/>
              <w:rPr>
                <w:rFonts w:asciiTheme="majorHAnsi" w:hAnsiTheme="majorHAnsi" w:cstheme="majorHAnsi"/>
                <w:b/>
                <w:szCs w:val="23"/>
                <w:u w:val="single"/>
              </w:rPr>
            </w:pPr>
            <w:r w:rsidRPr="00F42A98">
              <w:rPr>
                <w:rFonts w:asciiTheme="majorHAnsi" w:hAnsiTheme="majorHAnsi" w:cstheme="majorHAnsi"/>
                <w:b/>
                <w:szCs w:val="23"/>
                <w:u w:val="single"/>
              </w:rPr>
              <w:t xml:space="preserve">Choroby infekcyjne </w:t>
            </w:r>
          </w:p>
          <w:p w14:paraId="0C6CE889" w14:textId="77777777" w:rsidR="00F42A98" w:rsidRPr="00F42A98" w:rsidRDefault="00F42A98" w:rsidP="00114DF4">
            <w:pPr>
              <w:pStyle w:val="Akapitzlist"/>
              <w:spacing w:after="0" w:line="240" w:lineRule="auto"/>
              <w:ind w:left="-98"/>
              <w:jc w:val="both"/>
              <w:rPr>
                <w:rFonts w:asciiTheme="majorHAnsi" w:hAnsiTheme="majorHAnsi" w:cstheme="majorHAnsi"/>
                <w:szCs w:val="23"/>
              </w:rPr>
            </w:pPr>
            <w:r w:rsidRPr="00F42A98">
              <w:rPr>
                <w:rFonts w:asciiTheme="majorHAnsi" w:hAnsiTheme="majorHAnsi" w:cstheme="majorHAnsi"/>
                <w:szCs w:val="23"/>
                <w:u w:val="single"/>
              </w:rPr>
              <w:t>Wirusowe:</w:t>
            </w:r>
            <w:r w:rsidRPr="00F42A98">
              <w:rPr>
                <w:rFonts w:asciiTheme="majorHAnsi" w:hAnsiTheme="majorHAnsi" w:cstheme="majorHAnsi"/>
                <w:szCs w:val="23"/>
              </w:rPr>
              <w:t xml:space="preserve"> DNA (opryszczka zwykła, ospa wietrzna, półpasiec, wirus Epsteina-Barra, cytomegalia, brodawczak), RNA (</w:t>
            </w:r>
            <w:proofErr w:type="spellStart"/>
            <w:r w:rsidRPr="00F42A98">
              <w:rPr>
                <w:rFonts w:asciiTheme="majorHAnsi" w:hAnsiTheme="majorHAnsi" w:cstheme="majorHAnsi"/>
                <w:szCs w:val="23"/>
              </w:rPr>
              <w:t>coxsackie</w:t>
            </w:r>
            <w:proofErr w:type="spellEnd"/>
            <w:r w:rsidRPr="00F42A98">
              <w:rPr>
                <w:rFonts w:asciiTheme="majorHAnsi" w:hAnsiTheme="majorHAnsi" w:cstheme="majorHAnsi"/>
                <w:szCs w:val="23"/>
              </w:rPr>
              <w:t xml:space="preserve"> </w:t>
            </w:r>
            <w:proofErr w:type="spellStart"/>
            <w:r w:rsidRPr="00F42A98">
              <w:rPr>
                <w:rFonts w:asciiTheme="majorHAnsi" w:hAnsiTheme="majorHAnsi" w:cstheme="majorHAnsi"/>
                <w:szCs w:val="23"/>
              </w:rPr>
              <w:t>AiB</w:t>
            </w:r>
            <w:proofErr w:type="spellEnd"/>
            <w:r w:rsidRPr="00F42A98">
              <w:rPr>
                <w:rFonts w:asciiTheme="majorHAnsi" w:hAnsiTheme="majorHAnsi" w:cstheme="majorHAnsi"/>
                <w:szCs w:val="23"/>
              </w:rPr>
              <w:t>, różyczka, odra, HIV) - charakterystyka, objawy, leczenie</w:t>
            </w:r>
          </w:p>
          <w:p w14:paraId="49217DC6" w14:textId="77777777" w:rsidR="00F42A98" w:rsidRPr="00F42A98" w:rsidRDefault="00F42A98" w:rsidP="00114DF4">
            <w:pPr>
              <w:pStyle w:val="Akapitzlist"/>
              <w:spacing w:after="0" w:line="240" w:lineRule="auto"/>
              <w:ind w:left="-98"/>
              <w:jc w:val="both"/>
              <w:rPr>
                <w:rFonts w:asciiTheme="majorHAnsi" w:hAnsiTheme="majorHAnsi" w:cstheme="majorHAnsi"/>
                <w:szCs w:val="23"/>
              </w:rPr>
            </w:pPr>
            <w:r w:rsidRPr="00F42A98">
              <w:rPr>
                <w:rFonts w:asciiTheme="majorHAnsi" w:hAnsiTheme="majorHAnsi" w:cstheme="majorHAnsi"/>
                <w:szCs w:val="23"/>
                <w:u w:val="single"/>
              </w:rPr>
              <w:t>Bakteryjne</w:t>
            </w:r>
            <w:r w:rsidRPr="00F42A98">
              <w:rPr>
                <w:rFonts w:asciiTheme="majorHAnsi" w:hAnsiTheme="majorHAnsi" w:cstheme="majorHAnsi"/>
                <w:szCs w:val="23"/>
              </w:rPr>
              <w:t xml:space="preserve"> (zapalenie nieżytowe – objawy, leczenie). </w:t>
            </w:r>
            <w:proofErr w:type="spellStart"/>
            <w:r w:rsidRPr="00F42A98">
              <w:rPr>
                <w:rFonts w:asciiTheme="majorHAnsi" w:hAnsiTheme="majorHAnsi" w:cstheme="majorHAnsi"/>
                <w:szCs w:val="23"/>
                <w:u w:val="single"/>
              </w:rPr>
              <w:t>Drożdżakowe</w:t>
            </w:r>
            <w:proofErr w:type="spellEnd"/>
            <w:r w:rsidRPr="00F42A98">
              <w:rPr>
                <w:rFonts w:asciiTheme="majorHAnsi" w:hAnsiTheme="majorHAnsi" w:cstheme="majorHAnsi"/>
                <w:szCs w:val="23"/>
              </w:rPr>
              <w:t xml:space="preserve"> (podział </w:t>
            </w:r>
            <w:proofErr w:type="spellStart"/>
            <w:r w:rsidRPr="00F42A98">
              <w:rPr>
                <w:rFonts w:asciiTheme="majorHAnsi" w:hAnsiTheme="majorHAnsi" w:cstheme="majorHAnsi"/>
                <w:szCs w:val="23"/>
              </w:rPr>
              <w:t>kandydoz</w:t>
            </w:r>
            <w:proofErr w:type="spellEnd"/>
            <w:r w:rsidRPr="00F42A98">
              <w:rPr>
                <w:rFonts w:asciiTheme="majorHAnsi" w:hAnsiTheme="majorHAnsi" w:cstheme="majorHAnsi"/>
                <w:szCs w:val="23"/>
              </w:rPr>
              <w:t>, objawy, leczenie).</w:t>
            </w:r>
          </w:p>
          <w:p w14:paraId="24E30300" w14:textId="77777777" w:rsidR="00F42A98" w:rsidRPr="00F42A98" w:rsidRDefault="00F42A98" w:rsidP="00114DF4">
            <w:pPr>
              <w:pStyle w:val="Akapitzlist"/>
              <w:spacing w:after="0" w:line="259" w:lineRule="auto"/>
              <w:ind w:left="0" w:hanging="98"/>
              <w:jc w:val="both"/>
              <w:rPr>
                <w:rFonts w:asciiTheme="majorHAnsi" w:hAnsiTheme="majorHAnsi" w:cstheme="majorHAnsi"/>
                <w:szCs w:val="23"/>
              </w:rPr>
            </w:pPr>
            <w:r w:rsidRPr="00F42A98">
              <w:rPr>
                <w:rFonts w:asciiTheme="majorHAnsi" w:hAnsiTheme="majorHAnsi" w:cstheme="majorHAnsi"/>
                <w:b/>
                <w:szCs w:val="23"/>
                <w:u w:val="single"/>
              </w:rPr>
              <w:t>Choroby nieinfekcyjne</w:t>
            </w:r>
            <w:r w:rsidRPr="00F42A98">
              <w:rPr>
                <w:rFonts w:asciiTheme="majorHAnsi" w:hAnsiTheme="majorHAnsi" w:cstheme="majorHAnsi"/>
                <w:szCs w:val="23"/>
                <w:u w:val="single"/>
              </w:rPr>
              <w:t xml:space="preserve"> </w:t>
            </w:r>
            <w:r w:rsidRPr="00F42A98">
              <w:rPr>
                <w:rFonts w:asciiTheme="majorHAnsi" w:hAnsiTheme="majorHAnsi" w:cstheme="majorHAnsi"/>
                <w:szCs w:val="23"/>
              </w:rPr>
              <w:t xml:space="preserve">(zapalenie polekowe, torbiele).  </w:t>
            </w:r>
          </w:p>
        </w:tc>
        <w:tc>
          <w:tcPr>
            <w:tcW w:w="2121" w:type="dxa"/>
            <w:vAlign w:val="center"/>
          </w:tcPr>
          <w:p w14:paraId="33F6EA52" w14:textId="7D091298" w:rsidR="00F42A98" w:rsidRPr="007149A3"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15.01</w:t>
            </w:r>
            <w:r w:rsidRPr="00F42A98">
              <w:rPr>
                <w:rFonts w:asciiTheme="majorHAnsi" w:hAnsiTheme="majorHAnsi" w:cstheme="majorHAnsi"/>
              </w:rPr>
              <w:br/>
            </w:r>
            <w:r>
              <w:rPr>
                <w:rFonts w:asciiTheme="majorHAnsi" w:hAnsiTheme="majorHAnsi" w:cstheme="majorHAnsi"/>
                <w:b/>
              </w:rPr>
              <w:t xml:space="preserve">S1: </w:t>
            </w:r>
            <w:r w:rsidR="002470E8">
              <w:rPr>
                <w:rFonts w:asciiTheme="majorHAnsi" w:hAnsiTheme="majorHAnsi" w:cstheme="majorHAnsi"/>
                <w:b/>
              </w:rPr>
              <w:t>16</w:t>
            </w:r>
            <w:r w:rsidR="007149A3">
              <w:rPr>
                <w:rFonts w:asciiTheme="majorHAnsi" w:hAnsiTheme="majorHAnsi" w:cstheme="majorHAnsi"/>
              </w:rPr>
              <w:t>.01</w:t>
            </w:r>
          </w:p>
          <w:p w14:paraId="22882508" w14:textId="77777777" w:rsidR="00F42A98" w:rsidRPr="007149A3" w:rsidRDefault="00F42A98" w:rsidP="00F42A98">
            <w:pPr>
              <w:pStyle w:val="Akapitzlist"/>
              <w:spacing w:line="240" w:lineRule="auto"/>
              <w:ind w:left="284" w:hanging="280"/>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w:t>
            </w:r>
            <w:r w:rsidR="007149A3">
              <w:rPr>
                <w:rFonts w:asciiTheme="majorHAnsi" w:hAnsiTheme="majorHAnsi" w:cstheme="majorHAnsi"/>
                <w:b/>
              </w:rPr>
              <w:t xml:space="preserve"> </w:t>
            </w:r>
            <w:r w:rsidR="007209E8">
              <w:rPr>
                <w:rFonts w:asciiTheme="majorHAnsi" w:hAnsiTheme="majorHAnsi" w:cstheme="majorHAnsi"/>
              </w:rPr>
              <w:t>17</w:t>
            </w:r>
            <w:r w:rsidR="007149A3">
              <w:rPr>
                <w:rFonts w:asciiTheme="majorHAnsi" w:hAnsiTheme="majorHAnsi" w:cstheme="majorHAnsi"/>
              </w:rPr>
              <w:t>.01</w:t>
            </w:r>
          </w:p>
        </w:tc>
      </w:tr>
      <w:tr w:rsidR="00F42A98" w:rsidRPr="00F42A98" w14:paraId="29B083BC" w14:textId="77777777" w:rsidTr="00F42A98">
        <w:trPr>
          <w:trHeight w:val="255"/>
          <w:jc w:val="center"/>
        </w:trPr>
        <w:tc>
          <w:tcPr>
            <w:tcW w:w="421" w:type="dxa"/>
            <w:vAlign w:val="center"/>
          </w:tcPr>
          <w:p w14:paraId="3C6DA629" w14:textId="77777777" w:rsidR="00F42A98" w:rsidRPr="00F42A98" w:rsidRDefault="00F42A98" w:rsidP="00A73215">
            <w:pPr>
              <w:pStyle w:val="Akapitzlist"/>
              <w:numPr>
                <w:ilvl w:val="0"/>
                <w:numId w:val="2"/>
              </w:numPr>
              <w:rPr>
                <w:rFonts w:asciiTheme="majorHAnsi" w:hAnsiTheme="majorHAnsi" w:cstheme="majorHAnsi"/>
                <w:b/>
                <w:szCs w:val="23"/>
              </w:rPr>
            </w:pPr>
          </w:p>
        </w:tc>
        <w:tc>
          <w:tcPr>
            <w:tcW w:w="8646" w:type="dxa"/>
            <w:shd w:val="clear" w:color="auto" w:fill="auto"/>
            <w:vAlign w:val="center"/>
          </w:tcPr>
          <w:p w14:paraId="558C3E1F" w14:textId="77777777" w:rsidR="00F42A98" w:rsidRPr="00F42A98" w:rsidRDefault="00F42A98" w:rsidP="00114DF4">
            <w:pPr>
              <w:ind w:hanging="98"/>
              <w:jc w:val="both"/>
              <w:rPr>
                <w:rFonts w:asciiTheme="majorHAnsi" w:hAnsiTheme="majorHAnsi" w:cstheme="majorHAnsi"/>
                <w:szCs w:val="23"/>
              </w:rPr>
            </w:pPr>
            <w:r w:rsidRPr="00F42A98">
              <w:rPr>
                <w:rFonts w:asciiTheme="majorHAnsi" w:hAnsiTheme="majorHAnsi" w:cstheme="majorHAnsi"/>
                <w:szCs w:val="23"/>
              </w:rPr>
              <w:t xml:space="preserve"> Pierwsza wizyta dziecka w gabinecie stomatologicznym</w:t>
            </w:r>
          </w:p>
        </w:tc>
        <w:tc>
          <w:tcPr>
            <w:tcW w:w="2121" w:type="dxa"/>
            <w:vAlign w:val="center"/>
          </w:tcPr>
          <w:p w14:paraId="00381331" w14:textId="307A178B" w:rsidR="00F42A98" w:rsidRPr="007149A3"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22.01</w:t>
            </w:r>
            <w:r w:rsidRPr="00F42A98">
              <w:rPr>
                <w:rFonts w:asciiTheme="majorHAnsi" w:hAnsiTheme="majorHAnsi" w:cstheme="majorHAnsi"/>
              </w:rPr>
              <w:br/>
            </w:r>
            <w:r>
              <w:rPr>
                <w:rFonts w:asciiTheme="majorHAnsi" w:hAnsiTheme="majorHAnsi" w:cstheme="majorHAnsi"/>
                <w:b/>
              </w:rPr>
              <w:t xml:space="preserve">S1: </w:t>
            </w:r>
            <w:r w:rsidR="002470E8">
              <w:rPr>
                <w:rFonts w:asciiTheme="majorHAnsi" w:hAnsiTheme="majorHAnsi" w:cstheme="majorHAnsi"/>
                <w:b/>
              </w:rPr>
              <w:t>23</w:t>
            </w:r>
            <w:r w:rsidR="007149A3">
              <w:rPr>
                <w:rFonts w:asciiTheme="majorHAnsi" w:hAnsiTheme="majorHAnsi" w:cstheme="majorHAnsi"/>
              </w:rPr>
              <w:t>.01</w:t>
            </w:r>
          </w:p>
          <w:p w14:paraId="0244EFCF" w14:textId="77777777" w:rsidR="00F42A98" w:rsidRPr="007149A3" w:rsidRDefault="00F42A98" w:rsidP="00F42A98">
            <w:pPr>
              <w:pStyle w:val="Akapitzlist"/>
              <w:spacing w:line="240" w:lineRule="auto"/>
              <w:ind w:left="284" w:hanging="280"/>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w:t>
            </w:r>
            <w:r w:rsidR="007149A3">
              <w:rPr>
                <w:rFonts w:asciiTheme="majorHAnsi" w:hAnsiTheme="majorHAnsi" w:cstheme="majorHAnsi"/>
                <w:b/>
              </w:rPr>
              <w:t xml:space="preserve"> </w:t>
            </w:r>
            <w:r w:rsidR="007209E8">
              <w:rPr>
                <w:rFonts w:asciiTheme="majorHAnsi" w:hAnsiTheme="majorHAnsi" w:cstheme="majorHAnsi"/>
              </w:rPr>
              <w:t>24</w:t>
            </w:r>
            <w:r w:rsidR="007149A3">
              <w:rPr>
                <w:rFonts w:asciiTheme="majorHAnsi" w:hAnsiTheme="majorHAnsi" w:cstheme="majorHAnsi"/>
              </w:rPr>
              <w:t>.01</w:t>
            </w:r>
          </w:p>
        </w:tc>
      </w:tr>
      <w:tr w:rsidR="00F42A98" w:rsidRPr="00F42A98" w14:paraId="17BB029F" w14:textId="77777777" w:rsidTr="00F42A98">
        <w:trPr>
          <w:trHeight w:val="255"/>
          <w:jc w:val="center"/>
        </w:trPr>
        <w:tc>
          <w:tcPr>
            <w:tcW w:w="421" w:type="dxa"/>
            <w:vAlign w:val="center"/>
          </w:tcPr>
          <w:p w14:paraId="73BA999A" w14:textId="77777777" w:rsidR="00F42A98" w:rsidRPr="00F42A98" w:rsidRDefault="00F42A98" w:rsidP="00A73215">
            <w:pPr>
              <w:pStyle w:val="Akapitzlist"/>
              <w:numPr>
                <w:ilvl w:val="0"/>
                <w:numId w:val="2"/>
              </w:numPr>
              <w:spacing w:after="0"/>
              <w:rPr>
                <w:rFonts w:asciiTheme="majorHAnsi" w:hAnsiTheme="majorHAnsi" w:cstheme="majorHAnsi"/>
                <w:b/>
                <w:szCs w:val="23"/>
              </w:rPr>
            </w:pPr>
          </w:p>
        </w:tc>
        <w:tc>
          <w:tcPr>
            <w:tcW w:w="8646" w:type="dxa"/>
            <w:shd w:val="clear" w:color="auto" w:fill="auto"/>
            <w:vAlign w:val="center"/>
          </w:tcPr>
          <w:p w14:paraId="58A38C7D" w14:textId="77777777" w:rsidR="00F42A98" w:rsidRPr="00F42A98" w:rsidRDefault="00F42A98" w:rsidP="00114DF4">
            <w:pPr>
              <w:pStyle w:val="Akapitzlist"/>
              <w:spacing w:after="0"/>
              <w:ind w:left="-98"/>
              <w:jc w:val="both"/>
              <w:rPr>
                <w:rFonts w:asciiTheme="majorHAnsi" w:hAnsiTheme="majorHAnsi" w:cstheme="majorHAnsi"/>
                <w:szCs w:val="23"/>
              </w:rPr>
            </w:pPr>
            <w:r w:rsidRPr="00F42A98">
              <w:rPr>
                <w:rFonts w:asciiTheme="majorHAnsi" w:hAnsiTheme="majorHAnsi" w:cstheme="majorHAnsi"/>
                <w:b/>
                <w:szCs w:val="23"/>
              </w:rPr>
              <w:t xml:space="preserve">Nowotwory jamy ustnej i zmiany </w:t>
            </w:r>
            <w:proofErr w:type="spellStart"/>
            <w:r w:rsidRPr="00F42A98">
              <w:rPr>
                <w:rFonts w:asciiTheme="majorHAnsi" w:hAnsiTheme="majorHAnsi" w:cstheme="majorHAnsi"/>
                <w:b/>
                <w:szCs w:val="23"/>
              </w:rPr>
              <w:t>nowotworopodobne</w:t>
            </w:r>
            <w:proofErr w:type="spellEnd"/>
            <w:r w:rsidRPr="00F42A98">
              <w:rPr>
                <w:rFonts w:asciiTheme="majorHAnsi" w:hAnsiTheme="majorHAnsi" w:cstheme="majorHAnsi"/>
                <w:szCs w:val="23"/>
              </w:rPr>
              <w:t xml:space="preserve"> w wieku rozwojowym (szkliwiaki, </w:t>
            </w:r>
            <w:proofErr w:type="spellStart"/>
            <w:r w:rsidRPr="00F42A98">
              <w:rPr>
                <w:rFonts w:asciiTheme="majorHAnsi" w:hAnsiTheme="majorHAnsi" w:cstheme="majorHAnsi"/>
                <w:szCs w:val="23"/>
              </w:rPr>
              <w:t>zębiaki</w:t>
            </w:r>
            <w:proofErr w:type="spellEnd"/>
            <w:r w:rsidRPr="00F42A98">
              <w:rPr>
                <w:rFonts w:asciiTheme="majorHAnsi" w:hAnsiTheme="majorHAnsi" w:cstheme="majorHAnsi"/>
                <w:szCs w:val="23"/>
              </w:rPr>
              <w:t xml:space="preserve">,, włókniak </w:t>
            </w:r>
            <w:proofErr w:type="spellStart"/>
            <w:r w:rsidRPr="00F42A98">
              <w:rPr>
                <w:rFonts w:asciiTheme="majorHAnsi" w:hAnsiTheme="majorHAnsi" w:cstheme="majorHAnsi"/>
                <w:szCs w:val="23"/>
              </w:rPr>
              <w:t>szkliwiakowaty</w:t>
            </w:r>
            <w:proofErr w:type="spellEnd"/>
            <w:r w:rsidRPr="00F42A98">
              <w:rPr>
                <w:rFonts w:asciiTheme="majorHAnsi" w:hAnsiTheme="majorHAnsi" w:cstheme="majorHAnsi"/>
                <w:szCs w:val="23"/>
              </w:rPr>
              <w:t xml:space="preserve">, śluzak, </w:t>
            </w:r>
            <w:proofErr w:type="spellStart"/>
            <w:r w:rsidRPr="00F42A98">
              <w:rPr>
                <w:rFonts w:asciiTheme="majorHAnsi" w:hAnsiTheme="majorHAnsi" w:cstheme="majorHAnsi"/>
                <w:szCs w:val="23"/>
              </w:rPr>
              <w:t>kostniwiak</w:t>
            </w:r>
            <w:proofErr w:type="spellEnd"/>
            <w:r w:rsidRPr="00F42A98">
              <w:rPr>
                <w:rFonts w:asciiTheme="majorHAnsi" w:hAnsiTheme="majorHAnsi" w:cstheme="majorHAnsi"/>
                <w:szCs w:val="23"/>
              </w:rPr>
              <w:t xml:space="preserve">, młodzieńcze włókniaki, dysplazja włóknista, </w:t>
            </w:r>
            <w:proofErr w:type="spellStart"/>
            <w:r w:rsidRPr="00F42A98">
              <w:rPr>
                <w:rFonts w:asciiTheme="majorHAnsi" w:hAnsiTheme="majorHAnsi" w:cstheme="majorHAnsi"/>
                <w:szCs w:val="23"/>
              </w:rPr>
              <w:t>kostniwiak</w:t>
            </w:r>
            <w:proofErr w:type="spellEnd"/>
            <w:r w:rsidRPr="00F42A98">
              <w:rPr>
                <w:rFonts w:asciiTheme="majorHAnsi" w:hAnsiTheme="majorHAnsi" w:cstheme="majorHAnsi"/>
                <w:szCs w:val="23"/>
              </w:rPr>
              <w:t xml:space="preserve"> olbrzymi, guz olbrzymiokomórkowy, </w:t>
            </w:r>
            <w:proofErr w:type="spellStart"/>
            <w:r w:rsidRPr="00F42A98">
              <w:rPr>
                <w:rFonts w:asciiTheme="majorHAnsi" w:hAnsiTheme="majorHAnsi" w:cstheme="majorHAnsi"/>
                <w:szCs w:val="23"/>
              </w:rPr>
              <w:t>cherubizm</w:t>
            </w:r>
            <w:proofErr w:type="spellEnd"/>
            <w:r w:rsidRPr="00F42A98">
              <w:rPr>
                <w:rFonts w:asciiTheme="majorHAnsi" w:hAnsiTheme="majorHAnsi" w:cstheme="majorHAnsi"/>
                <w:szCs w:val="23"/>
              </w:rPr>
              <w:t xml:space="preserve">,, torbiel </w:t>
            </w:r>
            <w:proofErr w:type="spellStart"/>
            <w:r w:rsidRPr="00F42A98">
              <w:rPr>
                <w:rFonts w:asciiTheme="majorHAnsi" w:hAnsiTheme="majorHAnsi" w:cstheme="majorHAnsi"/>
                <w:szCs w:val="23"/>
              </w:rPr>
              <w:t>tętniakowata</w:t>
            </w:r>
            <w:proofErr w:type="spellEnd"/>
            <w:r w:rsidRPr="00F42A98">
              <w:rPr>
                <w:rFonts w:asciiTheme="majorHAnsi" w:hAnsiTheme="majorHAnsi" w:cstheme="majorHAnsi"/>
                <w:szCs w:val="23"/>
              </w:rPr>
              <w:t xml:space="preserve">, </w:t>
            </w:r>
            <w:proofErr w:type="spellStart"/>
            <w:r w:rsidRPr="00F42A98">
              <w:rPr>
                <w:rFonts w:asciiTheme="majorHAnsi" w:hAnsiTheme="majorHAnsi" w:cstheme="majorHAnsi"/>
                <w:szCs w:val="23"/>
              </w:rPr>
              <w:t>zębopochodne</w:t>
            </w:r>
            <w:proofErr w:type="spellEnd"/>
            <w:r w:rsidRPr="00F42A98">
              <w:rPr>
                <w:rFonts w:asciiTheme="majorHAnsi" w:hAnsiTheme="majorHAnsi" w:cstheme="majorHAnsi"/>
                <w:szCs w:val="23"/>
              </w:rPr>
              <w:t xml:space="preserve"> raki i mięsaki, </w:t>
            </w:r>
            <w:proofErr w:type="spellStart"/>
            <w:r w:rsidRPr="00F42A98">
              <w:rPr>
                <w:rFonts w:asciiTheme="majorHAnsi" w:hAnsiTheme="majorHAnsi" w:cstheme="majorHAnsi"/>
                <w:szCs w:val="23"/>
              </w:rPr>
              <w:t>nerwiakowłókniak</w:t>
            </w:r>
            <w:proofErr w:type="spellEnd"/>
            <w:r w:rsidRPr="00F42A98">
              <w:rPr>
                <w:rFonts w:asciiTheme="majorHAnsi" w:hAnsiTheme="majorHAnsi" w:cstheme="majorHAnsi"/>
                <w:szCs w:val="23"/>
              </w:rPr>
              <w:t xml:space="preserve">, </w:t>
            </w:r>
            <w:proofErr w:type="spellStart"/>
            <w:r w:rsidRPr="00F42A98">
              <w:rPr>
                <w:rFonts w:asciiTheme="majorHAnsi" w:hAnsiTheme="majorHAnsi" w:cstheme="majorHAnsi"/>
                <w:szCs w:val="23"/>
              </w:rPr>
              <w:t>melanotyczny</w:t>
            </w:r>
            <w:proofErr w:type="spellEnd"/>
            <w:r w:rsidRPr="00F42A98">
              <w:rPr>
                <w:rFonts w:asciiTheme="majorHAnsi" w:hAnsiTheme="majorHAnsi" w:cstheme="majorHAnsi"/>
                <w:szCs w:val="23"/>
              </w:rPr>
              <w:t xml:space="preserve"> neuroektodermalny guz wieku niemowlęcego, guz </w:t>
            </w:r>
            <w:proofErr w:type="spellStart"/>
            <w:r w:rsidRPr="00F42A98">
              <w:rPr>
                <w:rFonts w:asciiTheme="majorHAnsi" w:hAnsiTheme="majorHAnsi" w:cstheme="majorHAnsi"/>
                <w:szCs w:val="23"/>
              </w:rPr>
              <w:t>ziarnistokomórkowy</w:t>
            </w:r>
            <w:proofErr w:type="spellEnd"/>
            <w:r w:rsidRPr="00F42A98">
              <w:rPr>
                <w:rFonts w:asciiTheme="majorHAnsi" w:hAnsiTheme="majorHAnsi" w:cstheme="majorHAnsi"/>
                <w:szCs w:val="23"/>
              </w:rPr>
              <w:t>,, naczyniaki, histiocytoza X)</w:t>
            </w:r>
          </w:p>
        </w:tc>
        <w:tc>
          <w:tcPr>
            <w:tcW w:w="2121" w:type="dxa"/>
            <w:vAlign w:val="center"/>
          </w:tcPr>
          <w:p w14:paraId="15516A0F" w14:textId="6D72CA0A" w:rsidR="00F42A98" w:rsidRPr="007149A3" w:rsidRDefault="00F42A98" w:rsidP="00F42A98">
            <w:pPr>
              <w:pStyle w:val="Tre"/>
              <w:rPr>
                <w:rFonts w:asciiTheme="majorHAnsi" w:hAnsiTheme="majorHAnsi" w:cstheme="majorHAnsi"/>
              </w:rPr>
            </w:pPr>
            <w:r>
              <w:rPr>
                <w:rFonts w:asciiTheme="majorHAnsi" w:hAnsiTheme="majorHAnsi" w:cstheme="majorHAnsi"/>
                <w:b/>
              </w:rPr>
              <w:t xml:space="preserve">S2;S3: </w:t>
            </w:r>
            <w:r w:rsidRPr="00F42A98">
              <w:rPr>
                <w:rFonts w:asciiTheme="majorHAnsi" w:hAnsiTheme="majorHAnsi" w:cstheme="majorHAnsi"/>
              </w:rPr>
              <w:t xml:space="preserve"> </w:t>
            </w:r>
            <w:r>
              <w:rPr>
                <w:rFonts w:asciiTheme="majorHAnsi" w:hAnsiTheme="majorHAnsi" w:cstheme="majorHAnsi"/>
              </w:rPr>
              <w:t>29.01</w:t>
            </w:r>
            <w:r w:rsidRPr="00F42A98">
              <w:rPr>
                <w:rFonts w:asciiTheme="majorHAnsi" w:hAnsiTheme="majorHAnsi" w:cstheme="majorHAnsi"/>
              </w:rPr>
              <w:br/>
            </w:r>
            <w:r>
              <w:rPr>
                <w:rFonts w:asciiTheme="majorHAnsi" w:hAnsiTheme="majorHAnsi" w:cstheme="majorHAnsi"/>
                <w:b/>
              </w:rPr>
              <w:t xml:space="preserve">S1: </w:t>
            </w:r>
            <w:r w:rsidR="007149A3">
              <w:rPr>
                <w:rFonts w:asciiTheme="majorHAnsi" w:hAnsiTheme="majorHAnsi" w:cstheme="majorHAnsi"/>
                <w:b/>
              </w:rPr>
              <w:t xml:space="preserve"> </w:t>
            </w:r>
            <w:r w:rsidR="002470E8">
              <w:rPr>
                <w:rFonts w:asciiTheme="majorHAnsi" w:hAnsiTheme="majorHAnsi" w:cstheme="majorHAnsi"/>
                <w:b/>
              </w:rPr>
              <w:t>30</w:t>
            </w:r>
            <w:r w:rsidR="007209E8">
              <w:rPr>
                <w:rFonts w:asciiTheme="majorHAnsi" w:hAnsiTheme="majorHAnsi" w:cstheme="majorHAnsi"/>
              </w:rPr>
              <w:t>.01</w:t>
            </w:r>
          </w:p>
          <w:p w14:paraId="6F5E8256" w14:textId="77777777" w:rsidR="00F42A98" w:rsidRPr="007149A3" w:rsidRDefault="00F42A98" w:rsidP="00F42A98">
            <w:pPr>
              <w:pStyle w:val="Akapitzlist"/>
              <w:spacing w:line="240" w:lineRule="auto"/>
              <w:ind w:left="284" w:hanging="280"/>
              <w:rPr>
                <w:rFonts w:asciiTheme="majorHAnsi" w:hAnsiTheme="majorHAnsi" w:cstheme="majorHAnsi"/>
              </w:rPr>
            </w:pPr>
            <w:r w:rsidRPr="00F42A98">
              <w:rPr>
                <w:rFonts w:asciiTheme="majorHAnsi" w:hAnsiTheme="majorHAnsi" w:cstheme="majorHAnsi"/>
                <w:b/>
              </w:rPr>
              <w:t>S4</w:t>
            </w:r>
            <w:r>
              <w:rPr>
                <w:rFonts w:asciiTheme="majorHAnsi" w:hAnsiTheme="majorHAnsi" w:cstheme="majorHAnsi"/>
                <w:b/>
              </w:rPr>
              <w:t>:</w:t>
            </w:r>
            <w:r w:rsidR="007149A3">
              <w:rPr>
                <w:rFonts w:asciiTheme="majorHAnsi" w:hAnsiTheme="majorHAnsi" w:cstheme="majorHAnsi"/>
                <w:b/>
              </w:rPr>
              <w:t xml:space="preserve"> </w:t>
            </w:r>
            <w:r w:rsidR="007209E8">
              <w:rPr>
                <w:rFonts w:asciiTheme="majorHAnsi" w:hAnsiTheme="majorHAnsi" w:cstheme="majorHAnsi"/>
              </w:rPr>
              <w:t>31.01</w:t>
            </w:r>
          </w:p>
        </w:tc>
      </w:tr>
    </w:tbl>
    <w:p w14:paraId="7C605E75" w14:textId="77777777" w:rsidR="00A73215" w:rsidRPr="004650F6" w:rsidRDefault="00A73215" w:rsidP="00A73215">
      <w:pPr>
        <w:rPr>
          <w:rFonts w:asciiTheme="majorHAnsi" w:hAnsiTheme="majorHAnsi" w:cstheme="majorHAnsi"/>
          <w:b/>
          <w:sz w:val="20"/>
        </w:rPr>
      </w:pPr>
    </w:p>
    <w:sectPr w:rsidR="00A73215" w:rsidRPr="004650F6" w:rsidSect="00A73215">
      <w:pgSz w:w="11906" w:h="16838"/>
      <w:pgMar w:top="720" w:right="282"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63C6F"/>
    <w:multiLevelType w:val="hybridMultilevel"/>
    <w:tmpl w:val="420E86A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3E6C651B"/>
    <w:multiLevelType w:val="hybridMultilevel"/>
    <w:tmpl w:val="00C26DC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15"/>
    <w:rsid w:val="00114DF4"/>
    <w:rsid w:val="001F2F2C"/>
    <w:rsid w:val="002470E8"/>
    <w:rsid w:val="004650F6"/>
    <w:rsid w:val="0050521E"/>
    <w:rsid w:val="005D5DF3"/>
    <w:rsid w:val="006355AF"/>
    <w:rsid w:val="00681C36"/>
    <w:rsid w:val="007149A3"/>
    <w:rsid w:val="007209E8"/>
    <w:rsid w:val="00823BF3"/>
    <w:rsid w:val="009C544A"/>
    <w:rsid w:val="00A73215"/>
    <w:rsid w:val="00BF7A71"/>
    <w:rsid w:val="00C966CD"/>
    <w:rsid w:val="00F42A98"/>
    <w:rsid w:val="00FB7CEA"/>
    <w:rsid w:val="00FC31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2020"/>
  <w15:chartTrackingRefBased/>
  <w15:docId w15:val="{5565D38A-4C37-44FB-AB4C-EE10B50B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
    <w:name w:val="Treść"/>
    <w:rsid w:val="00A7321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Akapitzlist">
    <w:name w:val="List Paragraph"/>
    <w:basedOn w:val="Normalny"/>
    <w:uiPriority w:val="34"/>
    <w:qFormat/>
    <w:rsid w:val="00A73215"/>
    <w:pPr>
      <w:spacing w:after="200" w:line="276" w:lineRule="auto"/>
      <w:ind w:left="720"/>
      <w:contextualSpacing/>
    </w:pPr>
  </w:style>
  <w:style w:type="paragraph" w:styleId="Tekstdymka">
    <w:name w:val="Balloon Text"/>
    <w:basedOn w:val="Normalny"/>
    <w:link w:val="TekstdymkaZnak"/>
    <w:uiPriority w:val="99"/>
    <w:semiHidden/>
    <w:unhideWhenUsed/>
    <w:rsid w:val="005052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5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1022</Words>
  <Characters>6136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Grzegocka</dc:creator>
  <cp:keywords/>
  <dc:description/>
  <cp:lastModifiedBy>Marta Grzegocka</cp:lastModifiedBy>
  <cp:revision>2</cp:revision>
  <cp:lastPrinted>2022-09-29T07:52:00Z</cp:lastPrinted>
  <dcterms:created xsi:type="dcterms:W3CDTF">2023-09-28T07:21:00Z</dcterms:created>
  <dcterms:modified xsi:type="dcterms:W3CDTF">2023-09-28T07:21:00Z</dcterms:modified>
</cp:coreProperties>
</file>