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3E" w:rsidRPr="0018433E" w:rsidRDefault="0018433E" w:rsidP="0018433E">
      <w:pPr>
        <w:jc w:val="center"/>
        <w:rPr>
          <w:b/>
          <w:sz w:val="24"/>
        </w:rPr>
      </w:pPr>
      <w:bookmarkStart w:id="0" w:name="_GoBack"/>
      <w:bookmarkEnd w:id="0"/>
      <w:r w:rsidRPr="0018433E">
        <w:rPr>
          <w:b/>
          <w:sz w:val="24"/>
        </w:rPr>
        <w:t>ORTODONCJA</w:t>
      </w:r>
    </w:p>
    <w:p w:rsidR="0018433E" w:rsidRPr="0018433E" w:rsidRDefault="0018433E" w:rsidP="0018433E">
      <w:pPr>
        <w:jc w:val="center"/>
        <w:rPr>
          <w:b/>
          <w:color w:val="538135" w:themeColor="accent6" w:themeShade="BF"/>
          <w:sz w:val="24"/>
        </w:rPr>
      </w:pPr>
      <w:r w:rsidRPr="0018433E">
        <w:rPr>
          <w:b/>
          <w:color w:val="538135" w:themeColor="accent6" w:themeShade="BF"/>
          <w:sz w:val="24"/>
        </w:rPr>
        <w:t>III ROK</w:t>
      </w:r>
    </w:p>
    <w:p w:rsidR="0018433E" w:rsidRPr="0018433E" w:rsidRDefault="0018433E" w:rsidP="0018433E">
      <w:pPr>
        <w:jc w:val="center"/>
        <w:rPr>
          <w:b/>
          <w:sz w:val="24"/>
        </w:rPr>
      </w:pPr>
      <w:r w:rsidRPr="0018433E">
        <w:rPr>
          <w:b/>
          <w:sz w:val="24"/>
        </w:rPr>
        <w:t>SEMESTR LETNI ROK AKADEMICKI 2023/2024</w:t>
      </w:r>
    </w:p>
    <w:p w:rsidR="0018433E" w:rsidRPr="003064EC" w:rsidRDefault="0018433E" w:rsidP="0018433E">
      <w:pPr>
        <w:jc w:val="center"/>
        <w:rPr>
          <w:b/>
          <w:sz w:val="10"/>
          <w:szCs w:val="16"/>
        </w:rPr>
      </w:pPr>
    </w:p>
    <w:p w:rsidR="0018433E" w:rsidRPr="003064EC" w:rsidRDefault="0018433E" w:rsidP="0018433E">
      <w:pPr>
        <w:ind w:left="2124"/>
        <w:jc w:val="center"/>
        <w:rPr>
          <w:sz w:val="18"/>
          <w:szCs w:val="24"/>
        </w:rPr>
      </w:pPr>
    </w:p>
    <w:tbl>
      <w:tblPr>
        <w:tblW w:w="8854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221"/>
      </w:tblGrid>
      <w:tr w:rsidR="0018433E" w:rsidRPr="005E36E6" w:rsidTr="00D904F3">
        <w:trPr>
          <w:trHeight w:val="732"/>
        </w:trPr>
        <w:tc>
          <w:tcPr>
            <w:tcW w:w="633" w:type="dxa"/>
            <w:shd w:val="clear" w:color="auto" w:fill="FFFFFF" w:themeFill="background1"/>
          </w:tcPr>
          <w:p w:rsidR="0018433E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</w:p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221" w:type="dxa"/>
          </w:tcPr>
          <w:p w:rsidR="0018433E" w:rsidRPr="0018433E" w:rsidRDefault="0018433E" w:rsidP="00D904F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18433E" w:rsidRPr="0018433E" w:rsidRDefault="0018433E" w:rsidP="00D904F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433E">
              <w:rPr>
                <w:b/>
                <w:sz w:val="22"/>
                <w:szCs w:val="22"/>
              </w:rPr>
              <w:t xml:space="preserve">Zakres zagadnień obowiązujących na zajęciach  </w:t>
            </w:r>
          </w:p>
          <w:p w:rsidR="0018433E" w:rsidRPr="0018433E" w:rsidRDefault="0018433E" w:rsidP="00D904F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18433E" w:rsidRPr="005E36E6" w:rsidTr="0018433E">
        <w:trPr>
          <w:trHeight w:val="460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1.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Etiologia wad zgryzu. Czynniki ogólne i miejscowe (dysfunkcje, </w:t>
            </w:r>
            <w:proofErr w:type="spellStart"/>
            <w:r w:rsidRPr="0018433E">
              <w:rPr>
                <w:sz w:val="22"/>
                <w:szCs w:val="22"/>
              </w:rPr>
              <w:t>parafunkcje</w:t>
            </w:r>
            <w:proofErr w:type="spellEnd"/>
            <w:r w:rsidRPr="0018433E">
              <w:rPr>
                <w:sz w:val="22"/>
                <w:szCs w:val="22"/>
              </w:rPr>
              <w:t>, następstwa choroby próchnicowej i urazów).</w:t>
            </w:r>
          </w:p>
        </w:tc>
      </w:tr>
      <w:tr w:rsidR="0018433E" w:rsidRPr="005E36E6" w:rsidTr="0018433E">
        <w:trPr>
          <w:trHeight w:val="432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2.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>Diagnostyka wad zgryzu. Wady zgryzu sagitalne, wertykalne, transwersalne. Nieprawidłowości zębowe.</w:t>
            </w:r>
          </w:p>
        </w:tc>
      </w:tr>
      <w:tr w:rsidR="0018433E" w:rsidRPr="005E36E6" w:rsidTr="0018433E">
        <w:trPr>
          <w:trHeight w:val="605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3.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Badanie kliniczne pacjenta. Wywiad rodzinny i osobniczy. Badanie zewnątrzustne (analiza rysów twarzy en face i profilu, punkty, płaszczyzny, pole biometryczne, ). Badanie </w:t>
            </w:r>
            <w:proofErr w:type="spellStart"/>
            <w:r w:rsidRPr="0018433E">
              <w:rPr>
                <w:sz w:val="22"/>
                <w:szCs w:val="22"/>
              </w:rPr>
              <w:t>wewnątrzustne</w:t>
            </w:r>
            <w:proofErr w:type="spellEnd"/>
            <w:r w:rsidRPr="0018433E">
              <w:rPr>
                <w:sz w:val="22"/>
                <w:szCs w:val="22"/>
              </w:rPr>
              <w:t>. Badanie czynnościowe narządu żucia. Testy czynnościowe.</w:t>
            </w:r>
          </w:p>
        </w:tc>
      </w:tr>
      <w:tr w:rsidR="0018433E" w:rsidRPr="005E36E6" w:rsidTr="0018433E">
        <w:trPr>
          <w:trHeight w:val="668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4.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>Wyciski i modele – wykonanie, cechy prawidłowego wycisku i modelu. Masy i łyżki wyciskowe. Rodzaje gipsów i modeli ortodontycznych.      Zasady obcinania cokołów.</w:t>
            </w:r>
          </w:p>
        </w:tc>
      </w:tr>
      <w:tr w:rsidR="0018433E" w:rsidRPr="005E36E6" w:rsidTr="0018433E">
        <w:trPr>
          <w:trHeight w:val="453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5.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 Analiza rysów twarzy en face i profilu, punkty, płaszczyzny, pole biometryczne. Fotografia.</w:t>
            </w:r>
          </w:p>
        </w:tc>
      </w:tr>
      <w:tr w:rsidR="0018433E" w:rsidRPr="005E36E6" w:rsidTr="0018433E">
        <w:trPr>
          <w:trHeight w:val="675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6.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Analiza modeli diagnostycznych. Metryczna analiza kształtu łuku. Analiza symetrii łuku. Wzajemna analiza modeli (klasy </w:t>
            </w:r>
            <w:proofErr w:type="spellStart"/>
            <w:r w:rsidRPr="0018433E">
              <w:rPr>
                <w:sz w:val="22"/>
                <w:szCs w:val="22"/>
              </w:rPr>
              <w:t>Angle’a</w:t>
            </w:r>
            <w:proofErr w:type="spellEnd"/>
            <w:r w:rsidRPr="001843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8433E">
              <w:rPr>
                <w:sz w:val="22"/>
                <w:szCs w:val="22"/>
              </w:rPr>
              <w:t xml:space="preserve">klasy kłowe, </w:t>
            </w:r>
            <w:proofErr w:type="spellStart"/>
            <w:r w:rsidRPr="0018433E">
              <w:rPr>
                <w:sz w:val="22"/>
                <w:szCs w:val="22"/>
              </w:rPr>
              <w:t>overbite</w:t>
            </w:r>
            <w:proofErr w:type="spellEnd"/>
            <w:r w:rsidRPr="0018433E">
              <w:rPr>
                <w:sz w:val="22"/>
                <w:szCs w:val="22"/>
              </w:rPr>
              <w:t xml:space="preserve">, </w:t>
            </w:r>
            <w:proofErr w:type="spellStart"/>
            <w:r w:rsidRPr="0018433E">
              <w:rPr>
                <w:sz w:val="22"/>
                <w:szCs w:val="22"/>
              </w:rPr>
              <w:t>overjet</w:t>
            </w:r>
            <w:proofErr w:type="spellEnd"/>
            <w:r w:rsidRPr="0018433E">
              <w:rPr>
                <w:sz w:val="22"/>
                <w:szCs w:val="22"/>
              </w:rPr>
              <w:t>, zaburzenia względem płaszczyzn przestrzennych). Przyrządy pomiarowe stosowane do analizy modeli.</w:t>
            </w:r>
          </w:p>
        </w:tc>
      </w:tr>
      <w:tr w:rsidR="0018433E" w:rsidRPr="005E36E6" w:rsidTr="0018433E">
        <w:trPr>
          <w:trHeight w:val="631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7.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>Analiza modeli diagnostycznych – cd. Analiza modelu górnego i dolnego względem płaszczyzn przestrzennych. Nieprawidłowości położenia zębów.</w:t>
            </w:r>
          </w:p>
        </w:tc>
      </w:tr>
      <w:tr w:rsidR="0018433E" w:rsidRPr="005E36E6" w:rsidTr="0018433E">
        <w:trPr>
          <w:trHeight w:val="631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8.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>Wskaźniki (</w:t>
            </w:r>
            <w:proofErr w:type="spellStart"/>
            <w:r w:rsidRPr="0018433E">
              <w:rPr>
                <w:sz w:val="22"/>
                <w:szCs w:val="22"/>
              </w:rPr>
              <w:t>Moyersa</w:t>
            </w:r>
            <w:proofErr w:type="spellEnd"/>
            <w:r w:rsidRPr="0018433E">
              <w:rPr>
                <w:sz w:val="22"/>
                <w:szCs w:val="22"/>
              </w:rPr>
              <w:t xml:space="preserve">, </w:t>
            </w:r>
            <w:proofErr w:type="spellStart"/>
            <w:r w:rsidRPr="0018433E">
              <w:rPr>
                <w:sz w:val="22"/>
                <w:szCs w:val="22"/>
              </w:rPr>
              <w:t>Droschla</w:t>
            </w:r>
            <w:proofErr w:type="spellEnd"/>
            <w:r w:rsidRPr="0018433E">
              <w:rPr>
                <w:sz w:val="22"/>
                <w:szCs w:val="22"/>
              </w:rPr>
              <w:t xml:space="preserve">, </w:t>
            </w:r>
            <w:proofErr w:type="spellStart"/>
            <w:r w:rsidRPr="0018433E">
              <w:rPr>
                <w:sz w:val="22"/>
                <w:szCs w:val="22"/>
              </w:rPr>
              <w:t>Tonna</w:t>
            </w:r>
            <w:proofErr w:type="spellEnd"/>
            <w:r w:rsidRPr="0018433E">
              <w:rPr>
                <w:sz w:val="22"/>
                <w:szCs w:val="22"/>
              </w:rPr>
              <w:t xml:space="preserve">, Ponta, </w:t>
            </w:r>
            <w:proofErr w:type="spellStart"/>
            <w:r w:rsidRPr="0018433E">
              <w:rPr>
                <w:sz w:val="22"/>
                <w:szCs w:val="22"/>
              </w:rPr>
              <w:t>Boltona</w:t>
            </w:r>
            <w:proofErr w:type="spellEnd"/>
            <w:r w:rsidRPr="0018433E">
              <w:rPr>
                <w:sz w:val="22"/>
                <w:szCs w:val="22"/>
              </w:rPr>
              <w:t xml:space="preserve">, </w:t>
            </w:r>
            <w:proofErr w:type="spellStart"/>
            <w:r w:rsidRPr="0018433E">
              <w:rPr>
                <w:sz w:val="22"/>
                <w:szCs w:val="22"/>
              </w:rPr>
              <w:t>Littla</w:t>
            </w:r>
            <w:proofErr w:type="spellEnd"/>
            <w:r w:rsidRPr="0018433E">
              <w:rPr>
                <w:sz w:val="22"/>
                <w:szCs w:val="22"/>
              </w:rPr>
              <w:t xml:space="preserve">, </w:t>
            </w:r>
            <w:proofErr w:type="spellStart"/>
            <w:r w:rsidRPr="0018433E">
              <w:rPr>
                <w:sz w:val="22"/>
                <w:szCs w:val="22"/>
              </w:rPr>
              <w:t>Izarda</w:t>
            </w:r>
            <w:proofErr w:type="spellEnd"/>
            <w:r w:rsidRPr="0018433E">
              <w:rPr>
                <w:sz w:val="22"/>
                <w:szCs w:val="22"/>
              </w:rPr>
              <w:t xml:space="preserve">, Masztalerza, analiza segmentowa uzębienia stałego wg </w:t>
            </w:r>
            <w:proofErr w:type="spellStart"/>
            <w:r w:rsidRPr="0018433E">
              <w:rPr>
                <w:sz w:val="22"/>
                <w:szCs w:val="22"/>
              </w:rPr>
              <w:t>Lundstr</w:t>
            </w:r>
            <w:r w:rsidRPr="0018433E">
              <w:rPr>
                <w:rFonts w:cstheme="minorHAnsi"/>
                <w:sz w:val="22"/>
                <w:szCs w:val="22"/>
              </w:rPr>
              <w:t>ö</w:t>
            </w:r>
            <w:r w:rsidRPr="0018433E">
              <w:rPr>
                <w:sz w:val="22"/>
                <w:szCs w:val="22"/>
              </w:rPr>
              <w:t>ma</w:t>
            </w:r>
            <w:proofErr w:type="spellEnd"/>
            <w:r w:rsidRPr="0018433E">
              <w:rPr>
                <w:sz w:val="22"/>
                <w:szCs w:val="22"/>
              </w:rPr>
              <w:t>).   Przyrządy pomiarowe.</w:t>
            </w:r>
          </w:p>
        </w:tc>
      </w:tr>
      <w:tr w:rsidR="0018433E" w:rsidRPr="005E36E6" w:rsidTr="0018433E">
        <w:trPr>
          <w:trHeight w:val="405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9.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Badania radiologiczne. Analiza </w:t>
            </w:r>
            <w:proofErr w:type="spellStart"/>
            <w:r w:rsidRPr="0018433E">
              <w:rPr>
                <w:sz w:val="22"/>
                <w:szCs w:val="22"/>
              </w:rPr>
              <w:t>pantomogramów</w:t>
            </w:r>
            <w:proofErr w:type="spellEnd"/>
            <w:r w:rsidRPr="0018433E">
              <w:rPr>
                <w:sz w:val="22"/>
                <w:szCs w:val="22"/>
              </w:rPr>
              <w:t>. Ocena wieku zębowego (metody kliniczne i radiologiczne).</w:t>
            </w:r>
          </w:p>
        </w:tc>
      </w:tr>
      <w:tr w:rsidR="0018433E" w:rsidRPr="005E36E6" w:rsidTr="0018433E">
        <w:trPr>
          <w:trHeight w:val="595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10.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Ocena wieku kostnego (na podstawie analizy zdjęć radiologicznych dłoni i nadgarstka oraz </w:t>
            </w:r>
            <w:proofErr w:type="spellStart"/>
            <w:r w:rsidRPr="0018433E">
              <w:rPr>
                <w:sz w:val="22"/>
                <w:szCs w:val="22"/>
              </w:rPr>
              <w:t>telerentgenogramów</w:t>
            </w:r>
            <w:proofErr w:type="spellEnd"/>
            <w:r w:rsidRPr="0018433E">
              <w:rPr>
                <w:sz w:val="22"/>
                <w:szCs w:val="22"/>
              </w:rPr>
              <w:t>).</w:t>
            </w:r>
          </w:p>
        </w:tc>
      </w:tr>
      <w:tr w:rsidR="0018433E" w:rsidRPr="005E36E6" w:rsidTr="0018433E">
        <w:trPr>
          <w:trHeight w:val="289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11.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Analiza </w:t>
            </w:r>
            <w:proofErr w:type="spellStart"/>
            <w:r w:rsidRPr="0018433E">
              <w:rPr>
                <w:sz w:val="22"/>
                <w:szCs w:val="22"/>
              </w:rPr>
              <w:t>cefalometryczna</w:t>
            </w:r>
            <w:proofErr w:type="spellEnd"/>
            <w:r w:rsidRPr="0018433E">
              <w:rPr>
                <w:sz w:val="22"/>
                <w:szCs w:val="22"/>
              </w:rPr>
              <w:t xml:space="preserve"> wg </w:t>
            </w:r>
            <w:proofErr w:type="spellStart"/>
            <w:r w:rsidRPr="0018433E">
              <w:rPr>
                <w:sz w:val="22"/>
                <w:szCs w:val="22"/>
              </w:rPr>
              <w:t>Segnera</w:t>
            </w:r>
            <w:proofErr w:type="spellEnd"/>
            <w:r w:rsidRPr="0018433E">
              <w:rPr>
                <w:sz w:val="22"/>
                <w:szCs w:val="22"/>
              </w:rPr>
              <w:t xml:space="preserve"> i </w:t>
            </w:r>
            <w:proofErr w:type="spellStart"/>
            <w:r w:rsidRPr="0018433E">
              <w:rPr>
                <w:sz w:val="22"/>
                <w:szCs w:val="22"/>
              </w:rPr>
              <w:t>Hasunda</w:t>
            </w:r>
            <w:proofErr w:type="spellEnd"/>
            <w:r w:rsidRPr="0018433E">
              <w:rPr>
                <w:sz w:val="22"/>
                <w:szCs w:val="22"/>
              </w:rPr>
              <w:t xml:space="preserve">. Punkty i linie referencyjne. Kąty i odcinki. </w:t>
            </w:r>
          </w:p>
        </w:tc>
      </w:tr>
      <w:tr w:rsidR="0018433E" w:rsidRPr="005E36E6" w:rsidTr="0018433E">
        <w:trPr>
          <w:trHeight w:val="491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12.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 xml:space="preserve">Analiza </w:t>
            </w:r>
            <w:proofErr w:type="spellStart"/>
            <w:r w:rsidRPr="0018433E">
              <w:rPr>
                <w:sz w:val="22"/>
                <w:szCs w:val="22"/>
              </w:rPr>
              <w:t>cefalometryczna</w:t>
            </w:r>
            <w:proofErr w:type="spellEnd"/>
            <w:r w:rsidRPr="0018433E">
              <w:rPr>
                <w:sz w:val="22"/>
                <w:szCs w:val="22"/>
              </w:rPr>
              <w:t xml:space="preserve"> wg </w:t>
            </w:r>
            <w:proofErr w:type="spellStart"/>
            <w:r w:rsidRPr="0018433E">
              <w:rPr>
                <w:sz w:val="22"/>
                <w:szCs w:val="22"/>
              </w:rPr>
              <w:t>Segnera</w:t>
            </w:r>
            <w:proofErr w:type="spellEnd"/>
            <w:r w:rsidRPr="0018433E">
              <w:rPr>
                <w:sz w:val="22"/>
                <w:szCs w:val="22"/>
              </w:rPr>
              <w:t xml:space="preserve"> i </w:t>
            </w:r>
            <w:proofErr w:type="spellStart"/>
            <w:r w:rsidRPr="0018433E">
              <w:rPr>
                <w:sz w:val="22"/>
                <w:szCs w:val="22"/>
              </w:rPr>
              <w:t>Hasunda</w:t>
            </w:r>
            <w:proofErr w:type="spellEnd"/>
            <w:r w:rsidRPr="0018433E">
              <w:rPr>
                <w:sz w:val="22"/>
                <w:szCs w:val="22"/>
              </w:rPr>
              <w:t>. Klasyfikacja typu twarzy. Ocena harmonii sagitalnej i wertykalnej.</w:t>
            </w:r>
          </w:p>
        </w:tc>
      </w:tr>
      <w:tr w:rsidR="0018433E" w:rsidRPr="005E36E6" w:rsidTr="0018433E">
        <w:trPr>
          <w:trHeight w:val="448"/>
        </w:trPr>
        <w:tc>
          <w:tcPr>
            <w:tcW w:w="633" w:type="dxa"/>
            <w:shd w:val="clear" w:color="auto" w:fill="FFFFFF" w:themeFill="background1"/>
          </w:tcPr>
          <w:p w:rsidR="0018433E" w:rsidRPr="005E36E6" w:rsidRDefault="0018433E" w:rsidP="00D904F3">
            <w:pPr>
              <w:shd w:val="clear" w:color="auto" w:fill="FFFFFF" w:themeFill="background1"/>
              <w:jc w:val="center"/>
              <w:rPr>
                <w:b/>
                <w:sz w:val="18"/>
                <w:szCs w:val="24"/>
              </w:rPr>
            </w:pPr>
            <w:r w:rsidRPr="005E36E6">
              <w:rPr>
                <w:b/>
                <w:sz w:val="18"/>
                <w:szCs w:val="24"/>
              </w:rPr>
              <w:t>13.</w:t>
            </w:r>
          </w:p>
        </w:tc>
        <w:tc>
          <w:tcPr>
            <w:tcW w:w="8221" w:type="dxa"/>
            <w:shd w:val="clear" w:color="auto" w:fill="FFFFFF" w:themeFill="background1"/>
          </w:tcPr>
          <w:p w:rsidR="0018433E" w:rsidRPr="0018433E" w:rsidRDefault="0018433E" w:rsidP="00D904F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433E">
              <w:rPr>
                <w:sz w:val="22"/>
                <w:szCs w:val="22"/>
              </w:rPr>
              <w:t>Zaliczenie materiału</w:t>
            </w:r>
          </w:p>
        </w:tc>
      </w:tr>
    </w:tbl>
    <w:p w:rsidR="00757AF6" w:rsidRDefault="00757AF6"/>
    <w:sectPr w:rsidR="007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E"/>
    <w:rsid w:val="0018433E"/>
    <w:rsid w:val="007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8BF1"/>
  <w15:chartTrackingRefBased/>
  <w15:docId w15:val="{FC11C815-87C0-43D7-A3DF-F103099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Maciejkowicz</dc:creator>
  <cp:keywords/>
  <dc:description/>
  <cp:lastModifiedBy>Patrycja Maciejkowicz</cp:lastModifiedBy>
  <cp:revision>1</cp:revision>
  <cp:lastPrinted>2024-02-05T07:29:00Z</cp:lastPrinted>
  <dcterms:created xsi:type="dcterms:W3CDTF">2024-02-05T07:27:00Z</dcterms:created>
  <dcterms:modified xsi:type="dcterms:W3CDTF">2024-02-05T07:30:00Z</dcterms:modified>
</cp:coreProperties>
</file>