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04AF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2531DB41" wp14:editId="04B51E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3719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4602198" r:id="rId10"/>
        </w:object>
      </w:r>
    </w:p>
    <w:p w14:paraId="57C88EA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441692A3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3104407F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0B2B1458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483E8410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0EB81D08" w14:textId="7C8429D7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4A6E6B">
              <w:rPr>
                <w:rFonts w:eastAsia="Calibri"/>
                <w:b/>
                <w:lang w:eastAsia="en-US"/>
              </w:rPr>
              <w:t>Organizacja pracy pielęgniarskiej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B44287">
              <w:rPr>
                <w:rFonts w:eastAsia="Calibri"/>
                <w:b/>
                <w:bCs/>
                <w:lang w:eastAsia="en-US"/>
              </w:rPr>
              <w:t>2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B44287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6609A9" w14:paraId="7A7670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15D3095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F1D84A5" w14:textId="77777777" w:rsidR="00353A92" w:rsidRPr="00C36279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C36279">
              <w:rPr>
                <w:rFonts w:eastAsia="Calibri"/>
                <w:b/>
                <w:bCs/>
                <w:i/>
                <w:lang w:eastAsia="en-US"/>
              </w:rPr>
              <w:t>Obowiązkowy</w:t>
            </w:r>
          </w:p>
        </w:tc>
      </w:tr>
      <w:tr w:rsidR="008B53C0" w:rsidRPr="006609A9" w14:paraId="1CB7935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C5DD8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D12CFC" w14:textId="77777777" w:rsidR="008B53C0" w:rsidRPr="00C36279" w:rsidRDefault="008B53C0" w:rsidP="008B7745">
            <w:pPr>
              <w:rPr>
                <w:i/>
                <w:lang w:eastAsia="en-US"/>
              </w:rPr>
            </w:pPr>
            <w:r w:rsidRPr="00C36279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5B0C321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99B671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9CF9175" w14:textId="77777777" w:rsidR="008B53C0" w:rsidRPr="00C36279" w:rsidRDefault="008B53C0" w:rsidP="008B7745">
            <w:pPr>
              <w:rPr>
                <w:i/>
                <w:lang w:eastAsia="en-US"/>
              </w:rPr>
            </w:pPr>
            <w:r w:rsidRPr="00C36279">
              <w:rPr>
                <w:i/>
                <w:lang w:eastAsia="en-US"/>
              </w:rPr>
              <w:t xml:space="preserve">Pielęgniarstwo </w:t>
            </w:r>
          </w:p>
        </w:tc>
      </w:tr>
      <w:tr w:rsidR="008B53C0" w:rsidRPr="006609A9" w14:paraId="493FA67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DEB3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E87E3C" w14:textId="77777777" w:rsidR="008B53C0" w:rsidRPr="00C36279" w:rsidRDefault="008B53C0" w:rsidP="008B7745">
            <w:pPr>
              <w:rPr>
                <w:i/>
                <w:lang w:eastAsia="en-US"/>
              </w:rPr>
            </w:pPr>
            <w:r w:rsidRPr="00C36279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4BF72F9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9E27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03A77F3" w14:textId="77777777" w:rsidR="008B53C0" w:rsidRPr="00C36279" w:rsidRDefault="008B53C0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jednolite magisterskie □</w:t>
            </w:r>
            <w:r w:rsidRPr="00C36279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0E189FB7" w14:textId="77777777" w:rsidR="008B53C0" w:rsidRPr="00C36279" w:rsidRDefault="008B53C0" w:rsidP="005F3E19">
            <w:pPr>
              <w:rPr>
                <w:rFonts w:eastAsia="Calibri"/>
                <w:b/>
                <w:lang w:eastAsia="en-US"/>
              </w:rPr>
            </w:pPr>
            <w:r w:rsidRPr="00C36279">
              <w:rPr>
                <w:rFonts w:eastAsia="Calibri"/>
                <w:b/>
                <w:i/>
                <w:lang w:eastAsia="en-US"/>
              </w:rPr>
              <w:t>I stopnia</w:t>
            </w:r>
            <w:r w:rsidRPr="00C36279">
              <w:rPr>
                <w:rFonts w:eastAsia="Calibri"/>
                <w:i/>
                <w:lang w:eastAsia="en-US"/>
              </w:rPr>
              <w:t xml:space="preserve">  </w:t>
            </w:r>
            <w:r w:rsidRPr="00C36279">
              <w:rPr>
                <w:rFonts w:eastAsia="Calibri"/>
                <w:b/>
                <w:lang w:eastAsia="en-US"/>
              </w:rPr>
              <w:t>X</w:t>
            </w:r>
          </w:p>
          <w:p w14:paraId="61B3DB76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8B53C0" w:rsidRPr="006609A9" w14:paraId="7ECD0A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4EA432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A1FBE1D" w14:textId="77777777" w:rsidR="008B53C0" w:rsidRPr="00C36279" w:rsidRDefault="001F5035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C36279">
              <w:rPr>
                <w:rFonts w:eastAsia="Calibri"/>
                <w:b/>
                <w:bCs/>
                <w:i/>
                <w:lang w:eastAsia="en-US"/>
              </w:rPr>
              <w:t>S</w:t>
            </w:r>
            <w:r w:rsidR="008B53C0" w:rsidRPr="00C36279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8B53C0" w:rsidRPr="006609A9" w14:paraId="121B48A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B24DB2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6FF932D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62199EF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Rok 2, semestr I</w:t>
            </w:r>
            <w:r w:rsidR="00F12820" w:rsidRPr="00C36279">
              <w:rPr>
                <w:rFonts w:eastAsia="Calibri"/>
                <w:i/>
                <w:lang w:eastAsia="en-US"/>
              </w:rPr>
              <w:t>II</w:t>
            </w:r>
          </w:p>
        </w:tc>
      </w:tr>
      <w:tr w:rsidR="008B53C0" w:rsidRPr="006609A9" w14:paraId="7755E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BF1EE9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11AE3B" w14:textId="77777777" w:rsidR="008B53C0" w:rsidRPr="00C36279" w:rsidRDefault="004A6E6B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8B53C0" w:rsidRPr="006609A9" w14:paraId="51455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4D5A2C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D21A3D" w14:textId="47613462" w:rsidR="003C6C5C" w:rsidRPr="00C36279" w:rsidRDefault="001F5035" w:rsidP="008B53C0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W</w:t>
            </w:r>
            <w:r w:rsidR="008B53C0" w:rsidRPr="00C36279">
              <w:rPr>
                <w:rFonts w:eastAsia="Calibri"/>
                <w:i/>
                <w:lang w:eastAsia="en-US"/>
              </w:rPr>
              <w:t>ykłady</w:t>
            </w:r>
            <w:r w:rsidR="008B53C0" w:rsidRPr="00C36279">
              <w:rPr>
                <w:rFonts w:eastAsia="Calibri"/>
                <w:b/>
                <w:i/>
                <w:lang w:eastAsia="en-US"/>
              </w:rPr>
              <w:t xml:space="preserve"> –</w:t>
            </w:r>
            <w:r w:rsidR="008B53C0" w:rsidRPr="00C36279">
              <w:rPr>
                <w:rFonts w:eastAsia="Calibri"/>
                <w:i/>
                <w:lang w:eastAsia="en-US"/>
              </w:rPr>
              <w:t xml:space="preserve"> 1</w:t>
            </w:r>
            <w:r w:rsidR="004A6E6B" w:rsidRPr="00C36279">
              <w:rPr>
                <w:rFonts w:eastAsia="Calibri"/>
                <w:i/>
                <w:lang w:eastAsia="en-US"/>
              </w:rPr>
              <w:t>4</w:t>
            </w:r>
            <w:r w:rsidR="008B53C0" w:rsidRPr="00C36279">
              <w:rPr>
                <w:rFonts w:eastAsia="Calibri"/>
                <w:i/>
                <w:lang w:eastAsia="en-US"/>
              </w:rPr>
              <w:t xml:space="preserve"> godz</w:t>
            </w:r>
            <w:r w:rsidRPr="00C36279">
              <w:rPr>
                <w:rFonts w:eastAsia="Calibri"/>
                <w:i/>
                <w:lang w:eastAsia="en-US"/>
              </w:rPr>
              <w:t>.;</w:t>
            </w:r>
            <w:r w:rsidR="002934E8" w:rsidRPr="00C36279">
              <w:rPr>
                <w:rFonts w:eastAsia="Calibri"/>
                <w:i/>
                <w:lang w:eastAsia="en-US"/>
              </w:rPr>
              <w:t xml:space="preserve"> Seminarium</w:t>
            </w:r>
            <w:r w:rsidR="003C6C5C" w:rsidRPr="00C36279">
              <w:rPr>
                <w:rFonts w:eastAsia="Calibri"/>
                <w:i/>
                <w:lang w:eastAsia="en-US"/>
              </w:rPr>
              <w:t xml:space="preserve"> – </w:t>
            </w:r>
            <w:r w:rsidR="004A6E6B" w:rsidRPr="00C36279">
              <w:rPr>
                <w:rFonts w:eastAsia="Calibri"/>
                <w:i/>
                <w:lang w:eastAsia="en-US"/>
              </w:rPr>
              <w:t>6</w:t>
            </w:r>
            <w:r w:rsidRPr="00C36279">
              <w:rPr>
                <w:rFonts w:eastAsia="Calibri"/>
                <w:i/>
                <w:lang w:eastAsia="en-US"/>
              </w:rPr>
              <w:t xml:space="preserve"> godz.; </w:t>
            </w:r>
            <w:r w:rsidR="004B18D9" w:rsidRPr="00C36279">
              <w:rPr>
                <w:rFonts w:eastAsia="Calibri"/>
                <w:i/>
                <w:lang w:eastAsia="en-US"/>
              </w:rPr>
              <w:t xml:space="preserve">Praca własna studenta </w:t>
            </w:r>
            <w:r w:rsidRPr="00C36279">
              <w:rPr>
                <w:rFonts w:eastAsia="Calibri"/>
                <w:i/>
                <w:lang w:eastAsia="en-US"/>
              </w:rPr>
              <w:t>-</w:t>
            </w:r>
            <w:r w:rsidR="003C6C5C" w:rsidRPr="00C36279">
              <w:rPr>
                <w:rFonts w:eastAsia="Calibri"/>
                <w:i/>
                <w:lang w:eastAsia="en-US"/>
              </w:rPr>
              <w:t xml:space="preserve"> </w:t>
            </w:r>
            <w:r w:rsidR="004A6E6B" w:rsidRPr="00C36279">
              <w:rPr>
                <w:rFonts w:eastAsia="Calibri"/>
                <w:i/>
                <w:lang w:eastAsia="en-US"/>
              </w:rPr>
              <w:t>15</w:t>
            </w:r>
            <w:r w:rsidR="003C6C5C" w:rsidRPr="00C36279">
              <w:rPr>
                <w:rFonts w:eastAsia="Calibri"/>
                <w:i/>
                <w:lang w:eastAsia="en-US"/>
              </w:rPr>
              <w:t xml:space="preserve"> godz.</w:t>
            </w:r>
          </w:p>
        </w:tc>
      </w:tr>
      <w:tr w:rsidR="008B53C0" w:rsidRPr="006609A9" w14:paraId="5EA826B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B715504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5D75D48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- zaliczenie na ocenę:</w:t>
            </w:r>
          </w:p>
          <w:p w14:paraId="62228379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□</w:t>
            </w:r>
            <w:r w:rsidRPr="00C36279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611A9D96" w14:textId="77777777" w:rsidR="008B53C0" w:rsidRPr="00C36279" w:rsidRDefault="004A6E6B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b/>
                <w:i/>
                <w:lang w:eastAsia="en-US"/>
              </w:rPr>
              <w:t>X</w:t>
            </w:r>
            <w:r w:rsidR="008B53C0" w:rsidRPr="00C36279">
              <w:rPr>
                <w:rFonts w:eastAsia="Calibri"/>
                <w:i/>
                <w:lang w:eastAsia="en-US"/>
              </w:rPr>
              <w:tab/>
            </w:r>
            <w:r w:rsidR="008B53C0" w:rsidRPr="00C36279">
              <w:rPr>
                <w:rFonts w:eastAsia="Calibri"/>
                <w:b/>
                <w:bCs/>
                <w:i/>
                <w:lang w:eastAsia="en-US"/>
              </w:rPr>
              <w:t>testowe</w:t>
            </w:r>
          </w:p>
          <w:p w14:paraId="551C5B28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□</w:t>
            </w:r>
            <w:r w:rsidRPr="00C36279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3BE1FB4D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□</w:t>
            </w:r>
            <w:r w:rsidRPr="00C36279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677296C8" w14:textId="77777777" w:rsidR="008B53C0" w:rsidRPr="00C36279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 xml:space="preserve">      </w:t>
            </w:r>
            <w:r w:rsidR="008B53C0" w:rsidRPr="00C36279"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320F6062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- egzamin końcowy:</w:t>
            </w:r>
          </w:p>
          <w:p w14:paraId="12F14E65" w14:textId="77777777" w:rsidR="0020024F" w:rsidRPr="00C36279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o</w:t>
            </w:r>
            <w:r w:rsidR="008B53C0" w:rsidRPr="00C36279">
              <w:rPr>
                <w:rFonts w:eastAsia="Calibri"/>
                <w:i/>
                <w:lang w:eastAsia="en-US"/>
              </w:rPr>
              <w:t>pisowy</w:t>
            </w:r>
          </w:p>
          <w:p w14:paraId="4E593469" w14:textId="77777777" w:rsidR="008B53C0" w:rsidRPr="00C36279" w:rsidRDefault="004A6E6B" w:rsidP="0020024F">
            <w:pPr>
              <w:rPr>
                <w:rFonts w:eastAsia="Calibri"/>
                <w:b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 xml:space="preserve">□   </w:t>
            </w:r>
            <w:r w:rsidR="0020024F" w:rsidRPr="00C36279">
              <w:rPr>
                <w:rFonts w:eastAsia="Calibri"/>
                <w:b/>
                <w:i/>
                <w:lang w:eastAsia="en-US"/>
              </w:rPr>
              <w:t xml:space="preserve">        </w:t>
            </w:r>
            <w:r w:rsidR="008B53C0" w:rsidRPr="00C36279">
              <w:rPr>
                <w:rFonts w:eastAsia="Calibri"/>
                <w:bCs/>
                <w:i/>
                <w:lang w:eastAsia="en-US"/>
              </w:rPr>
              <w:t>testowy</w:t>
            </w:r>
          </w:p>
          <w:p w14:paraId="4F3C7111" w14:textId="77777777" w:rsidR="008B53C0" w:rsidRPr="00C3627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praktyczny</w:t>
            </w:r>
          </w:p>
          <w:p w14:paraId="5CCA799B" w14:textId="77777777" w:rsidR="008B53C0" w:rsidRPr="00C3627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8B53C0" w:rsidRPr="006609A9" w14:paraId="5FACD96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3E3356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E842C85" w14:textId="77777777" w:rsidR="008B53C0" w:rsidRPr="00C36279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Dr n. med. Ma</w:t>
            </w:r>
            <w:r w:rsidR="001F5035" w:rsidRPr="00C36279">
              <w:rPr>
                <w:rFonts w:eastAsia="Calibri"/>
                <w:i/>
                <w:lang w:eastAsia="en-US"/>
              </w:rPr>
              <w:t>gdalena Kamińska</w:t>
            </w:r>
          </w:p>
        </w:tc>
      </w:tr>
      <w:tr w:rsidR="008B53C0" w:rsidRPr="006609A9" w14:paraId="7607C8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51E5F8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79447119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1B3B3DB" w14:textId="77777777" w:rsidR="00E93101" w:rsidRPr="00C36279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b/>
                <w:i/>
                <w:lang w:eastAsia="en-US"/>
              </w:rPr>
              <w:t>Dr n. med. Ma</w:t>
            </w:r>
            <w:r w:rsidR="001F5035" w:rsidRPr="00C36279">
              <w:rPr>
                <w:rFonts w:eastAsia="Calibri"/>
                <w:b/>
                <w:i/>
                <w:lang w:eastAsia="en-US"/>
              </w:rPr>
              <w:t>gdalena Kamińska</w:t>
            </w:r>
            <w:r w:rsidRPr="00C36279">
              <w:rPr>
                <w:rFonts w:eastAsia="Calibri"/>
                <w:i/>
                <w:lang w:eastAsia="en-US"/>
              </w:rPr>
              <w:t xml:space="preserve"> (</w:t>
            </w:r>
            <w:r w:rsidR="00CB0489" w:rsidRPr="00C36279">
              <w:rPr>
                <w:i/>
                <w:lang w:eastAsia="en-US"/>
              </w:rPr>
              <w:t>o</w:t>
            </w:r>
            <w:r w:rsidRPr="00C36279">
              <w:rPr>
                <w:i/>
                <w:lang w:eastAsia="en-US"/>
              </w:rPr>
              <w:t xml:space="preserve">soba odpowiedzialna za </w:t>
            </w:r>
            <w:r w:rsidR="004A6E6B" w:rsidRPr="00C36279">
              <w:rPr>
                <w:i/>
                <w:lang w:eastAsia="en-US"/>
              </w:rPr>
              <w:t>przedmiot</w:t>
            </w:r>
            <w:r w:rsidR="00476415" w:rsidRPr="00C36279">
              <w:rPr>
                <w:i/>
                <w:lang w:eastAsia="en-US"/>
              </w:rPr>
              <w:t>) adres e-mail: magdalena.kaminska@pum.edu.pl</w:t>
            </w:r>
          </w:p>
        </w:tc>
      </w:tr>
      <w:tr w:rsidR="00B26A25" w:rsidRPr="006609A9" w14:paraId="4369833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3A0DEB5" w14:textId="77777777" w:rsidR="00B26A25" w:rsidRPr="00F65363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8C88D0" w14:textId="3C38A483" w:rsidR="00B26A25" w:rsidRPr="00C36279" w:rsidRDefault="00B26A25" w:rsidP="00B26A25">
            <w:pPr>
              <w:rPr>
                <w:rFonts w:eastAsia="Calibri"/>
                <w:bCs/>
                <w:i/>
                <w:lang w:eastAsia="en-US"/>
              </w:rPr>
            </w:pPr>
            <w:r w:rsidRPr="00C36279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585354" w:rsidRPr="00C36279">
              <w:rPr>
                <w:rFonts w:eastAsia="Calibri"/>
                <w:bCs/>
                <w:i/>
                <w:lang w:eastAsia="en-US"/>
              </w:rPr>
              <w:t xml:space="preserve"> i Medycyny Paliatywnej</w:t>
            </w:r>
            <w:r w:rsidRPr="00C36279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C36279">
              <w:rPr>
                <w:rFonts w:eastAsia="Calibri"/>
                <w:bCs/>
                <w:i/>
                <w:lang w:eastAsia="en-US"/>
              </w:rPr>
              <w:br/>
            </w:r>
            <w:r w:rsidRPr="00C36279">
              <w:rPr>
                <w:i/>
              </w:rPr>
              <w:t>tel. +4891 48 00 920 / fax +4891 48 00 923</w:t>
            </w:r>
          </w:p>
        </w:tc>
      </w:tr>
      <w:tr w:rsidR="00B26A25" w:rsidRPr="006609A9" w14:paraId="20E5D567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DB549B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499BAC" w14:textId="77777777" w:rsidR="00B26A25" w:rsidRPr="00C36279" w:rsidRDefault="00B26A25" w:rsidP="00B26A25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B26A25" w:rsidRPr="006609A9" w14:paraId="4DE85A1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388193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CF9DE0" w14:textId="77777777" w:rsidR="00B26A25" w:rsidRPr="00C36279" w:rsidRDefault="00B26A25" w:rsidP="00B26A2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65D400C9" w14:textId="77777777" w:rsidR="00353A92" w:rsidRPr="006609A9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112F0B38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4CE21E8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2F7B4D3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C3953BD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6E4E5FEF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13362886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FC351C7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25262C" w14:textId="77777777" w:rsidR="00353A92" w:rsidRPr="004A6E6B" w:rsidRDefault="00FA4BB4" w:rsidP="001F5035">
            <w:pPr>
              <w:rPr>
                <w:highlight w:val="yellow"/>
              </w:rPr>
            </w:pPr>
            <w:r w:rsidRPr="006609A9">
              <w:t xml:space="preserve">Wyposażenie studenta w wiedzę dotyczącą </w:t>
            </w:r>
            <w:r>
              <w:t>podstaw organizacji pracy pielęgniarskiej</w:t>
            </w:r>
            <w:r w:rsidR="00F12820">
              <w:t>. Przybliżenie tematyki dotyczącej istoty organizacji i organizowania, podstaw sprawnego działania, kierowania w pielęgniarstwie oraz zagadnień organizowania pielęgniarskich stanowisk i pracy własnej, usprawniania opieki pielęgniarskiej i oceny jej jakości, standardów praktyki pielęgniarskiej, negocjowania oraz rozwiązywania konfliktów.</w:t>
            </w:r>
          </w:p>
        </w:tc>
      </w:tr>
      <w:tr w:rsidR="00FA4BB4" w:rsidRPr="006609A9" w14:paraId="41C6AB34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1FBD5B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3E6DCC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4CE3AA" w14:textId="77777777" w:rsidR="00FA4BB4" w:rsidRPr="006609A9" w:rsidRDefault="00FA4BB4" w:rsidP="00FA4BB4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</w:t>
            </w:r>
            <w:r w:rsidR="00F12820">
              <w:rPr>
                <w:rFonts w:eastAsia="Calibri"/>
                <w:lang w:eastAsia="en-US"/>
              </w:rPr>
              <w:t xml:space="preserve">roku </w:t>
            </w:r>
            <w:r w:rsidRPr="006609A9">
              <w:rPr>
                <w:rFonts w:eastAsia="Calibri"/>
                <w:lang w:eastAsia="en-US"/>
              </w:rPr>
              <w:t xml:space="preserve">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6D8884B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DA2B77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66443D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8A73C8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1C39191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95932A2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DF840F3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E08ACA" w14:textId="77777777" w:rsidR="00FA4BB4" w:rsidRPr="006609A9" w:rsidRDefault="00FA4BB4" w:rsidP="00FA4BB4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Umiejętność </w:t>
            </w:r>
            <w:r w:rsidR="00F12820">
              <w:rPr>
                <w:rFonts w:eastAsia="Calibri"/>
                <w:lang w:eastAsia="en-US"/>
              </w:rPr>
              <w:t>poprawnej komunikacji interpersonalnej i współpracy w zespole.</w:t>
            </w:r>
          </w:p>
        </w:tc>
      </w:tr>
    </w:tbl>
    <w:p w14:paraId="55833EB2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34"/>
        <w:gridCol w:w="2548"/>
        <w:gridCol w:w="528"/>
        <w:gridCol w:w="184"/>
        <w:gridCol w:w="283"/>
        <w:gridCol w:w="426"/>
        <w:gridCol w:w="50"/>
        <w:gridCol w:w="658"/>
        <w:gridCol w:w="334"/>
        <w:gridCol w:w="92"/>
        <w:gridCol w:w="850"/>
        <w:gridCol w:w="709"/>
        <w:gridCol w:w="567"/>
        <w:gridCol w:w="324"/>
        <w:gridCol w:w="101"/>
      </w:tblGrid>
      <w:tr w:rsidR="00353A92" w:rsidRPr="006609A9" w14:paraId="24731D08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09223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2432D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55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D8F73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51CEC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0D93642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6CF0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F1916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50648718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79A9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700B2F5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6F02B9B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F1CED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7A35" w14:textId="77777777" w:rsidR="00F001E6" w:rsidRPr="004A6E6B" w:rsidRDefault="004A6E6B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Pr="004A6E6B">
              <w:rPr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DE905" w14:textId="77777777" w:rsidR="00F001E6" w:rsidRPr="006609A9" w:rsidRDefault="004A6E6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2D47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1286BF19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B487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70247" w14:textId="77777777" w:rsidR="00F001E6" w:rsidRPr="004A6E6B" w:rsidRDefault="00AE79A6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F0E7F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BFA86" w14:textId="77777777" w:rsidR="00F001E6" w:rsidRPr="006609A9" w:rsidRDefault="002E1648" w:rsidP="00180589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3507FD">
              <w:t xml:space="preserve">, </w:t>
            </w:r>
            <w:r w:rsidR="00AE79A6">
              <w:t>T</w:t>
            </w:r>
          </w:p>
        </w:tc>
      </w:tr>
      <w:tr w:rsidR="00F001E6" w:rsidRPr="006609A9" w14:paraId="394FC4C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DE272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50A60" w14:textId="77777777" w:rsidR="00F001E6" w:rsidRPr="004A6E6B" w:rsidRDefault="00AE79A6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2BF259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D0258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52E6854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D0C3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97DFA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2D948" w14:textId="77777777" w:rsidR="00F001E6" w:rsidRPr="006609A9" w:rsidRDefault="004A6E6B" w:rsidP="008B7745">
            <w:r w:rsidRPr="004A6E6B">
              <w:t>C.W2</w:t>
            </w:r>
            <w:r>
              <w:t>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6391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265D30C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4835B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03698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B1480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3D93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4D1B25AF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43BCC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W06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6D939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problematykę jakości w opiece zdrowotnej;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850ED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5592E" w14:textId="77777777" w:rsidR="00F001E6" w:rsidRPr="006609A9" w:rsidRDefault="002E1648" w:rsidP="00694918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C05787" w:rsidRPr="006609A9" w14:paraId="294F99A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17A99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9191E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odejmować decyzje dotyczące doboru metod pracy oraz współpracy w zespole;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5966C" w14:textId="77777777" w:rsidR="00C05787" w:rsidRPr="006609A9" w:rsidRDefault="004A6E6B" w:rsidP="008B7745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9742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1BB8CA7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5FA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B62C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A6E6B" w:rsidRPr="004A6E6B">
              <w:rPr>
                <w:sz w:val="22"/>
                <w:szCs w:val="22"/>
              </w:rPr>
              <w:t>onitorować zagrożenia w pracy pielęgniarki i czynniki sprzyjające występowaniu chorób zawodowych oraz wypadków przy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8F1EA" w14:textId="77777777" w:rsidR="00C05787" w:rsidRPr="006609A9" w:rsidRDefault="004A6E6B" w:rsidP="008B7745">
            <w:pPr>
              <w:spacing w:line="276" w:lineRule="auto"/>
            </w:pPr>
            <w:r w:rsidRPr="004A6E6B"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56963" w14:textId="77777777" w:rsidR="00C05787" w:rsidRPr="006609A9" w:rsidRDefault="00001858" w:rsidP="008B7745">
            <w:pPr>
              <w:spacing w:line="276" w:lineRule="auto"/>
            </w:pPr>
            <w:r>
              <w:t>D, PM</w:t>
            </w:r>
            <w:r w:rsidR="00AE79A6">
              <w:t>, T</w:t>
            </w:r>
          </w:p>
        </w:tc>
      </w:tr>
      <w:tr w:rsidR="00C05787" w:rsidRPr="006609A9" w14:paraId="2EA42EA1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C065B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CA3B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A6E6B" w:rsidRPr="004A6E6B">
              <w:rPr>
                <w:sz w:val="22"/>
                <w:szCs w:val="22"/>
              </w:rPr>
              <w:t xml:space="preserve">spółuczestniczyć w </w:t>
            </w:r>
            <w:r w:rsidR="004A6E6B" w:rsidRPr="004A6E6B">
              <w:rPr>
                <w:sz w:val="22"/>
                <w:szCs w:val="22"/>
              </w:rPr>
              <w:lastRenderedPageBreak/>
              <w:t>opracowaniu standardów i procedur praktyki pielęgniarskiej oraz monitorować jakość opieki pielęgniarskiej;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117A5" w14:textId="77777777" w:rsidR="00C05787" w:rsidRPr="006609A9" w:rsidRDefault="004A6E6B" w:rsidP="008B7745">
            <w:pPr>
              <w:spacing w:line="276" w:lineRule="auto"/>
            </w:pPr>
            <w:r w:rsidRPr="004A6E6B">
              <w:lastRenderedPageBreak/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D3F4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PM, T</w:t>
            </w:r>
          </w:p>
        </w:tc>
      </w:tr>
      <w:tr w:rsidR="00C05787" w:rsidRPr="006609A9" w14:paraId="04A0F64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D9B0C" w14:textId="77777777" w:rsidR="00C05787" w:rsidRPr="006609A9" w:rsidRDefault="00C05787" w:rsidP="004A6E6B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1FCEB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A6E6B" w:rsidRPr="004A6E6B">
              <w:rPr>
                <w:sz w:val="22"/>
                <w:szCs w:val="22"/>
              </w:rPr>
              <w:t>adzorować i oceniać pracę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08A08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1366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2FB3D08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449BF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E0352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lanować własny rozwój zawodowy i rozwijać umiejętności aktywnego poszukiwania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23FF3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C1AFB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CA6ECA">
              <w:t xml:space="preserve">, </w:t>
            </w:r>
            <w:r>
              <w:t>T</w:t>
            </w:r>
          </w:p>
        </w:tc>
      </w:tr>
      <w:tr w:rsidR="006E0428" w:rsidRPr="006609A9" w14:paraId="137FA12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3672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8AE57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A6E6B" w:rsidRPr="004A6E6B">
              <w:rPr>
                <w:sz w:val="22"/>
                <w:szCs w:val="22"/>
              </w:rPr>
              <w:t>asięga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opinii ekspertów w przypadku trudności z samodzielnym rozwiązaniem problemu;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50669" w14:textId="77777777" w:rsidR="006E0428" w:rsidRPr="006609A9" w:rsidRDefault="004A6E6B" w:rsidP="006E0428">
            <w:pPr>
              <w:spacing w:line="276" w:lineRule="auto"/>
            </w:pPr>
            <w:r>
              <w:t>K5.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3DCF0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4697DF4A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63753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5430B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E6B" w:rsidRPr="004A6E6B">
              <w:rPr>
                <w:sz w:val="22"/>
                <w:szCs w:val="22"/>
              </w:rPr>
              <w:t>ostrzega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i rozpoznawa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własn</w:t>
            </w:r>
            <w:r>
              <w:rPr>
                <w:sz w:val="22"/>
                <w:szCs w:val="22"/>
              </w:rPr>
              <w:t xml:space="preserve">e </w:t>
            </w:r>
            <w:r w:rsidR="004A6E6B" w:rsidRPr="004A6E6B">
              <w:rPr>
                <w:sz w:val="22"/>
                <w:szCs w:val="22"/>
              </w:rPr>
              <w:t>ogranicze</w:t>
            </w:r>
            <w:r>
              <w:rPr>
                <w:sz w:val="22"/>
                <w:szCs w:val="22"/>
              </w:rPr>
              <w:t>nia</w:t>
            </w:r>
            <w:r w:rsidR="004A6E6B" w:rsidRPr="004A6E6B">
              <w:rPr>
                <w:sz w:val="22"/>
                <w:szCs w:val="22"/>
              </w:rPr>
              <w:t xml:space="preserve"> w zakresie wiedzy, umiejętności i kompetencji społecznych oraz dokonywania samooceny deficytów i potrzeb edukacyjnych.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9D94E" w14:textId="77777777" w:rsidR="006E0428" w:rsidRPr="006609A9" w:rsidRDefault="004A6E6B" w:rsidP="006E0428">
            <w:pPr>
              <w:spacing w:line="276" w:lineRule="auto"/>
            </w:pPr>
            <w:r>
              <w:t>K7.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27D26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6E789095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B5DF479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05557A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420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FA10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1A850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3014B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10A9828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1547"/>
          <w:jc w:val="center"/>
        </w:trPr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EF70F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8DB2E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81D60A7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11EB12" w14:textId="3C30B8AA" w:rsidR="006E0428" w:rsidRPr="006609A9" w:rsidRDefault="002934E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73C384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0207EB6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9A9EB3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B0F09F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D0BEF96" w14:textId="65C25038" w:rsidR="006E0428" w:rsidRPr="006609A9" w:rsidRDefault="004B18D9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F30F95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AE79A6" w:rsidRPr="006609A9" w14:paraId="608E5FC0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33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21045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717FC" w14:textId="77777777" w:rsidR="00AE79A6" w:rsidRPr="006609A9" w:rsidRDefault="00AE79A6" w:rsidP="00AE79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FEE1F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EF1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DFE9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81C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AAB0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AE5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D4EA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EE04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546BBCC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5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C3AC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842C1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5CB1D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E120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7093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A29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4F4C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F1B2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1B575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B20F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EAA170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60878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FB14B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171F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D39B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CE5F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035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DEBD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6F4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5625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A66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61A6DD5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1B44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E71CC" w14:textId="77777777" w:rsidR="00AE79A6" w:rsidRPr="006609A9" w:rsidRDefault="00AE79A6" w:rsidP="00AE79A6">
            <w:r w:rsidRPr="004A6E6B">
              <w:t>C.W2</w:t>
            </w:r>
            <w:r>
              <w:t>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05CB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124B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9F9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453E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A7F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FDA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44DD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4E3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751765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6F34E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0CBDB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9663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2A3F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3B1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C74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4194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BBAA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55A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0066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C26DF7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54C4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B4E6E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C8C4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D7F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4A5D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BD9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9DD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B862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75E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727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F8CE4B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7AB9F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FF969" w14:textId="77777777" w:rsidR="00AE79A6" w:rsidRPr="006609A9" w:rsidRDefault="00AE79A6" w:rsidP="00AE79A6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FF4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E1E47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C4DC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FB54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A992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2024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EFFF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79B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6FFEA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E9FF6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BB80CD" w14:textId="77777777" w:rsidR="00AE79A6" w:rsidRPr="006609A9" w:rsidRDefault="00AE79A6" w:rsidP="00AE79A6">
            <w:pPr>
              <w:spacing w:line="276" w:lineRule="auto"/>
            </w:pPr>
            <w:r w:rsidRPr="004A6E6B"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9098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007D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A987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8867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A7C2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911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F2E3D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9C3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3240AD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C189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26F53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592B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BFAA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7AB4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2D0C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06A9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5E5D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F51C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135F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84920E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2A28C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2C732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0D0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DE07C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9A30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117C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A9A1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5576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7642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4C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2CE69F9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40B0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74974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9DF6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C3A6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A306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0B4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1CFA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75D2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CAEAE" w14:textId="77777777" w:rsidR="00AE79A6" w:rsidRPr="006609A9" w:rsidRDefault="00B26A25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60E1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1D38DA4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D9B2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D5A14" w14:textId="77777777" w:rsidR="00AE79A6" w:rsidRPr="006609A9" w:rsidRDefault="00AE79A6" w:rsidP="00AE79A6">
            <w:pPr>
              <w:spacing w:line="276" w:lineRule="auto"/>
            </w:pPr>
            <w:r>
              <w:t>K5.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597F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4C65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8B92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357E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FC0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55C4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1EB5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EDAB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08D69EE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B6FAD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80010" w14:textId="77777777" w:rsidR="00AE79A6" w:rsidRPr="006609A9" w:rsidRDefault="00AE79A6" w:rsidP="00AE79A6">
            <w:pPr>
              <w:spacing w:line="276" w:lineRule="auto"/>
            </w:pPr>
            <w:r>
              <w:t>K7.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732D8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6317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416B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75F3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B9AF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3D59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6953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D1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84660F" w:rsidRPr="006609A9" w14:paraId="5CC72E85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2C9B4C34" w14:textId="77777777" w:rsidR="0084660F" w:rsidRPr="006609A9" w:rsidRDefault="00180589" w:rsidP="005F3E19">
            <w:pPr>
              <w:rPr>
                <w:rFonts w:eastAsia="Calibri"/>
                <w:b/>
                <w:lang w:eastAsia="en-US"/>
              </w:rPr>
            </w:pPr>
            <w:r w:rsidRPr="006609A9">
              <w:br w:type="page"/>
            </w:r>
            <w:r w:rsidR="00824AEA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5664B3DC" w14:textId="77777777" w:rsidTr="00AE79A6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08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EBEEB4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5475FB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F5B3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>
              <w:rPr>
                <w:rFonts w:eastAsia="Calibri"/>
                <w:b/>
                <w:lang w:eastAsia="en-US"/>
              </w:rPr>
              <w:t>uczenia się d</w:t>
            </w:r>
            <w:r w:rsidR="00B26A25">
              <w:rPr>
                <w:rFonts w:eastAsia="Calibri"/>
                <w:b/>
                <w:lang w:eastAsia="en-US"/>
              </w:rPr>
              <w:t>o</w:t>
            </w:r>
            <w:r w:rsidR="00824AEA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6609A9" w14:paraId="615F45EF" w14:textId="77777777" w:rsidTr="00AE79A6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E4F9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3E10D70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CD213B" w14:textId="77777777" w:rsidR="0084660F" w:rsidRPr="00730C99" w:rsidRDefault="00CD350B" w:rsidP="007A277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AE79A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0C055" w14:textId="77777777" w:rsidR="0084660F" w:rsidRPr="00730C9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55E3D2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ABF7D" w14:textId="77777777" w:rsidR="00E95C41" w:rsidRPr="00730C99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A60D3D5" w14:textId="77777777" w:rsidR="00496462" w:rsidRPr="00730C99" w:rsidRDefault="00DD4398" w:rsidP="00CD3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 organizowanie. Podstawy sprawnego działania.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AB7FC6" w14:textId="77777777" w:rsidR="00E95C41" w:rsidRPr="00730C99" w:rsidRDefault="00DD4398" w:rsidP="007A27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1B044" w14:textId="77777777" w:rsidR="001E79C0" w:rsidRPr="00D072F3" w:rsidRDefault="00D072F3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4CC6E5D6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BD7D" w14:textId="77777777" w:rsidR="00DD4398" w:rsidRP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4398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7142D9D" w14:textId="77777777" w:rsidR="00DD4398" w:rsidRDefault="00DD4398" w:rsidP="00DD4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w pielęgniarstwie.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26CBA2" w14:textId="77777777" w:rsid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966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09FCA38F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1D0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FA29107" w14:textId="77777777" w:rsidR="00DD4398" w:rsidRPr="00DD4398" w:rsidRDefault="00DD4398" w:rsidP="00DD4398">
            <w:pPr>
              <w:rPr>
                <w:sz w:val="20"/>
                <w:szCs w:val="20"/>
              </w:rPr>
            </w:pPr>
            <w:r w:rsidRPr="00DD4398">
              <w:rPr>
                <w:sz w:val="20"/>
                <w:szCs w:val="20"/>
              </w:rPr>
              <w:t>Zasady organizowania pielęgniarskich stanowisk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A27A35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13BB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332EA34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B686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28063BA" w14:textId="77777777" w:rsidR="00DD4398" w:rsidRPr="00730C99" w:rsidRDefault="00DD4398" w:rsidP="00DD439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D4398">
              <w:rPr>
                <w:color w:val="000000"/>
                <w:sz w:val="20"/>
                <w:szCs w:val="20"/>
              </w:rPr>
              <w:t>Organizacja pracy własnej.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7E8E2C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D8E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C.W30., K5., K7.</w:t>
            </w:r>
          </w:p>
        </w:tc>
      </w:tr>
      <w:tr w:rsidR="00DD4398" w:rsidRPr="006609A9" w14:paraId="1C1D846C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1839" w14:textId="7587C4A1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C872038" w14:textId="77777777" w:rsidR="00DD4398" w:rsidRPr="00730C99" w:rsidRDefault="00DD4398" w:rsidP="00DD4398">
            <w:pPr>
              <w:rPr>
                <w:sz w:val="20"/>
                <w:szCs w:val="20"/>
                <w:highlight w:val="yellow"/>
              </w:rPr>
            </w:pPr>
            <w:r w:rsidRPr="00DD4398">
              <w:rPr>
                <w:sz w:val="20"/>
                <w:szCs w:val="20"/>
              </w:rPr>
              <w:t>Doskonalenie jakości opieki pielęgniarskiej.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BD23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9770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C.W31.</w:t>
            </w:r>
          </w:p>
        </w:tc>
      </w:tr>
      <w:tr w:rsidR="00DD4398" w:rsidRPr="006609A9" w14:paraId="2A5A5A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E9D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AAFD4D0" w14:textId="77777777" w:rsidR="00DD4398" w:rsidRPr="00730C99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praktyki w zawodzie pielęgniarki.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83F9E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80DC" w14:textId="77777777" w:rsidR="00DD4398" w:rsidRPr="00D072F3" w:rsidRDefault="00B26A25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0FC09784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08C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E400726" w14:textId="77777777" w:rsidR="00DD4398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Negocjowanie i rozwiązywanie konfliktów.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5F078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E3B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C.W26., K5., K7.</w:t>
            </w:r>
          </w:p>
        </w:tc>
      </w:tr>
      <w:tr w:rsidR="00DD4398" w:rsidRPr="006609A9" w14:paraId="527F38B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4BF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D4B1DBC" w14:textId="2A27D6A3" w:rsidR="00DD4398" w:rsidRPr="00730C99" w:rsidRDefault="002934E8" w:rsidP="00DD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DD439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C0B68C" w14:textId="77777777" w:rsidR="00DD4398" w:rsidRPr="00730C99" w:rsidRDefault="00DD4398" w:rsidP="00DD439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FF7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4398" w:rsidRPr="006609A9" w14:paraId="3D4179A3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93D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BC7139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Harmonogram czasu pracy pielęgniarki</w:t>
            </w:r>
            <w:r w:rsidR="00CD5507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D5507">
              <w:rPr>
                <w:sz w:val="20"/>
                <w:szCs w:val="20"/>
              </w:rPr>
              <w:t>Strategie przeciwdziałania negatywnym konsekwencjom pracy zmianowej na pielęgniarskich stanowiskach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467CB7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46A1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DD4398" w:rsidRPr="006609A9" w14:paraId="2CE59A2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325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346B0792" w14:textId="77777777" w:rsidR="00DD4398" w:rsidRPr="00CD5507" w:rsidRDefault="00CD5507" w:rsidP="00DD4398">
            <w:pPr>
              <w:rPr>
                <w:sz w:val="20"/>
                <w:szCs w:val="20"/>
              </w:rPr>
            </w:pPr>
            <w:r w:rsidRPr="00CD5507">
              <w:rPr>
                <w:sz w:val="20"/>
                <w:szCs w:val="20"/>
              </w:rPr>
              <w:t>Zagrożenia w pracy pielęgniarki i czynniki sprzyjające występowaniu chorób zawodowych oraz wypadków przy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0E4415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9D85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2E1648" w:rsidRPr="006609A9" w14:paraId="5DFA8B99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7DC20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8A4B188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pielęgniarek w pracach na rzecz poprawy jakości i standaryzacji opieki.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3B9CA1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48762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C.U40.</w:t>
            </w:r>
            <w:r w:rsidR="00E6497E">
              <w:rPr>
                <w:sz w:val="20"/>
                <w:szCs w:val="20"/>
              </w:rPr>
              <w:t xml:space="preserve">, </w:t>
            </w:r>
            <w:r w:rsidR="00E6497E" w:rsidRPr="00E6497E">
              <w:rPr>
                <w:sz w:val="20"/>
                <w:szCs w:val="20"/>
              </w:rPr>
              <w:t>C.U42</w:t>
            </w:r>
            <w:r w:rsidR="00E6497E">
              <w:rPr>
                <w:sz w:val="20"/>
                <w:szCs w:val="20"/>
              </w:rPr>
              <w:t>.</w:t>
            </w:r>
          </w:p>
        </w:tc>
      </w:tr>
      <w:tr w:rsidR="002E1648" w:rsidRPr="006609A9" w14:paraId="084BF08D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A53FB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004B780" w14:textId="28FF5A35" w:rsidR="002E1648" w:rsidRPr="00730C99" w:rsidRDefault="004B18D9" w:rsidP="002E1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2E164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0071F5" w14:textId="77777777" w:rsidR="002E1648" w:rsidRPr="00730C99" w:rsidRDefault="002E1648" w:rsidP="002E16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09047" w14:textId="77777777" w:rsidR="002E1648" w:rsidRPr="006609A9" w:rsidRDefault="002E1648" w:rsidP="002E1648">
            <w:pPr>
              <w:spacing w:line="276" w:lineRule="auto"/>
            </w:pPr>
          </w:p>
        </w:tc>
      </w:tr>
      <w:tr w:rsidR="002E1648" w:rsidRPr="006609A9" w14:paraId="6D6EEDC0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155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22373BFE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czynników wpływających integrująco lub dezintegrująco na pracę w zespole terapeutycznym na podstawie obserwacji pracy w wybranym oddziale szpitalnym.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05382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7B81D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C.W27., C</w:t>
            </w:r>
            <w:r w:rsidRPr="00E6497E">
              <w:rPr>
                <w:sz w:val="20"/>
                <w:szCs w:val="20"/>
              </w:rPr>
              <w:t>.U39.,</w:t>
            </w:r>
            <w:r w:rsidR="00E6497E" w:rsidRPr="00E6497E">
              <w:rPr>
                <w:sz w:val="20"/>
                <w:szCs w:val="20"/>
              </w:rPr>
              <w:t xml:space="preserve"> C.U42.</w:t>
            </w:r>
          </w:p>
        </w:tc>
      </w:tr>
      <w:tr w:rsidR="002E1648" w:rsidRPr="006609A9" w14:paraId="4D3A9004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A3C7F3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E1648" w:rsidRPr="006609A9" w14:paraId="3D27081E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5AB3C204" w14:textId="69198371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</w:t>
            </w:r>
            <w:r w:rsidR="009B052E">
              <w:rPr>
                <w:rFonts w:eastAsia="Calibri"/>
                <w:b/>
                <w:lang w:eastAsia="en-US"/>
              </w:rPr>
              <w:t>a</w:t>
            </w:r>
          </w:p>
        </w:tc>
      </w:tr>
      <w:tr w:rsidR="002E1648" w:rsidRPr="006609A9" w14:paraId="4F02509E" w14:textId="77777777" w:rsidTr="00AE79A6">
        <w:trPr>
          <w:trHeight w:val="74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1D6F399F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Ksykiewicz-Dorota A. (red.). Podstawy organizacji pracy pielęgniarskiej. Wydawnictwo Czelej, Lublin 2004.</w:t>
            </w:r>
          </w:p>
        </w:tc>
      </w:tr>
      <w:tr w:rsidR="002E1648" w:rsidRPr="006609A9" w14:paraId="52626407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6DB9EA8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</w:pPr>
            <w:r>
              <w:rPr>
                <w:rFonts w:eastAsia="Calibri"/>
              </w:rPr>
              <w:t>Ksykiewicz-Dorota A. (red.). Zarządzanie w pielęgniarstwie. Wydawnictwo Czelej, Lublin 2005.</w:t>
            </w:r>
          </w:p>
        </w:tc>
      </w:tr>
      <w:tr w:rsidR="002E1648" w:rsidRPr="006609A9" w14:paraId="7068DBD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3A447F2" w14:textId="77777777" w:rsidR="002E1648" w:rsidRPr="006609A9" w:rsidRDefault="002E1648" w:rsidP="002E1648">
            <w:pPr>
              <w:pStyle w:val="Bezodstpw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2E1648" w:rsidRPr="006609A9" w14:paraId="61B9A45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01C79C09" w14:textId="77777777" w:rsidR="002E1648" w:rsidRPr="006609A9" w:rsidRDefault="002E1648" w:rsidP="002E1648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Kautsch M. Zarządzanie w opiece zdrowotnej. Nowe wyzwania. Wydawnictwo </w:t>
            </w:r>
            <w:r>
              <w:t>Wolters Kluwer, Warszawa 2015.</w:t>
            </w:r>
          </w:p>
        </w:tc>
      </w:tr>
      <w:tr w:rsidR="002E1648" w:rsidRPr="006609A9" w14:paraId="14BC3296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9E36C3D" w14:textId="77777777" w:rsidR="002E1648" w:rsidRPr="00FA4BB4" w:rsidRDefault="002E1648" w:rsidP="002E1648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  <w:kern w:val="36"/>
              </w:rPr>
            </w:pPr>
            <w:r w:rsidRPr="00FA4BB4">
              <w:rPr>
                <w:b w:val="0"/>
                <w:bCs w:val="0"/>
              </w:rPr>
              <w:t xml:space="preserve">Moroz G., Orzeł Z. (red.). </w:t>
            </w:r>
            <w:r w:rsidRPr="00FA4BB4">
              <w:rPr>
                <w:b w:val="0"/>
                <w:bCs w:val="0"/>
                <w:kern w:val="36"/>
              </w:rPr>
              <w:t>Zarządzanie w opiece zdrowotnej. Praktyczny poradnik dla świadczeniodawców</w:t>
            </w:r>
            <w:r>
              <w:rPr>
                <w:b w:val="0"/>
                <w:bCs w:val="0"/>
                <w:kern w:val="36"/>
              </w:rPr>
              <w:t>. Wydawnictwo C.H. Beck, Warszawa 2014.</w:t>
            </w:r>
          </w:p>
        </w:tc>
      </w:tr>
      <w:tr w:rsidR="002E1648" w:rsidRPr="006609A9" w14:paraId="353523B3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D507A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2E1648" w:rsidRPr="006609A9" w14:paraId="1C39EFE4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 w:val="restart"/>
            <w:shd w:val="clear" w:color="auto" w:fill="auto"/>
            <w:vAlign w:val="center"/>
          </w:tcPr>
          <w:p w14:paraId="52A75987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79225F2A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6A9C745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2A4E630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  <w:tr w:rsidR="002E1648" w:rsidRPr="006609A9" w14:paraId="56AA8099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/>
            <w:shd w:val="clear" w:color="auto" w:fill="auto"/>
            <w:vAlign w:val="center"/>
          </w:tcPr>
          <w:p w14:paraId="75B4CA54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3C2E3D0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E1648" w:rsidRPr="006609A9" w14:paraId="4E48ACF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661445D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2C86EA0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4999E6F4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55206C73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7ED671F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25FBF59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03DFE8D" w14:textId="5043551D" w:rsidR="002E1648" w:rsidRPr="002A6B26" w:rsidRDefault="004B18D9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własna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55B2DE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01858"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102A7E4D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E098E6D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FA9CD0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1648" w:rsidRPr="006609A9" w14:paraId="0BD3876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93C08C5" w14:textId="77777777" w:rsidR="002E1648" w:rsidRPr="002A6B26" w:rsidRDefault="002E1648" w:rsidP="0000185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 w:rsidR="00001858"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F293B45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5BFA28D3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CFE633E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321FC8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2E1648" w:rsidRPr="006609A9" w14:paraId="0170B366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26FD1972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C5E861" w14:textId="77777777" w:rsidR="002E1648" w:rsidRPr="001C3C4F" w:rsidRDefault="00B26A25" w:rsidP="002E164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E1648" w:rsidRPr="006609A9" w14:paraId="7E0C8D70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5B9F0195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E1648" w:rsidRPr="006609A9" w14:paraId="501A3432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04F6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</w:tbl>
    <w:p w14:paraId="18515269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02D33D5F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7CE613F7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T – </w:t>
      </w:r>
      <w:r w:rsidR="00AE79A6">
        <w:rPr>
          <w:rFonts w:eastAsia="Calibri"/>
          <w:lang w:eastAsia="en-US"/>
        </w:rPr>
        <w:t xml:space="preserve">zaliczenie </w:t>
      </w:r>
      <w:r w:rsidRPr="006E0428">
        <w:rPr>
          <w:rFonts w:eastAsia="Calibri"/>
          <w:lang w:eastAsia="en-US"/>
        </w:rPr>
        <w:t>testow</w:t>
      </w:r>
      <w:r w:rsidR="00AE79A6">
        <w:rPr>
          <w:rFonts w:eastAsia="Calibri"/>
          <w:lang w:eastAsia="en-US"/>
        </w:rPr>
        <w:t>e</w:t>
      </w:r>
    </w:p>
    <w:p w14:paraId="2198DC40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004654DA" w14:textId="77777777" w:rsidR="005C58DC" w:rsidRPr="003036C4" w:rsidRDefault="00001858" w:rsidP="003036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</w:t>
      </w:r>
      <w:r w:rsidR="00642031" w:rsidRPr="006E0428">
        <w:rPr>
          <w:rFonts w:eastAsia="Calibri"/>
          <w:lang w:eastAsia="en-US"/>
        </w:rPr>
        <w:t xml:space="preserve"> </w:t>
      </w:r>
      <w:r w:rsidR="00AE79A6">
        <w:rPr>
          <w:rFonts w:eastAsia="Calibri"/>
          <w:lang w:eastAsia="en-US"/>
        </w:rPr>
        <w:t>–</w:t>
      </w:r>
      <w:r w:rsidR="00642031" w:rsidRPr="006E04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prezentacja multimedialna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00F" w14:textId="77777777" w:rsidR="001E4B50" w:rsidRDefault="001E4B50" w:rsidP="00190DC4">
      <w:r>
        <w:separator/>
      </w:r>
    </w:p>
  </w:endnote>
  <w:endnote w:type="continuationSeparator" w:id="0">
    <w:p w14:paraId="6CDCB6C0" w14:textId="77777777" w:rsidR="001E4B50" w:rsidRDefault="001E4B5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46B2" w14:textId="77777777" w:rsidR="001E4B50" w:rsidRDefault="001E4B50" w:rsidP="00190DC4">
      <w:r>
        <w:separator/>
      </w:r>
    </w:p>
  </w:footnote>
  <w:footnote w:type="continuationSeparator" w:id="0">
    <w:p w14:paraId="37D95864" w14:textId="77777777" w:rsidR="001E4B50" w:rsidRDefault="001E4B50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58742CA"/>
    <w:multiLevelType w:val="hybridMultilevel"/>
    <w:tmpl w:val="4890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185738">
    <w:abstractNumId w:val="1"/>
  </w:num>
  <w:num w:numId="2" w16cid:durableId="47804463">
    <w:abstractNumId w:val="14"/>
  </w:num>
  <w:num w:numId="3" w16cid:durableId="250237706">
    <w:abstractNumId w:val="11"/>
  </w:num>
  <w:num w:numId="4" w16cid:durableId="1871529876">
    <w:abstractNumId w:val="10"/>
  </w:num>
  <w:num w:numId="5" w16cid:durableId="2071846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600895">
    <w:abstractNumId w:val="18"/>
  </w:num>
  <w:num w:numId="7" w16cid:durableId="1306005724">
    <w:abstractNumId w:val="34"/>
  </w:num>
  <w:num w:numId="8" w16cid:durableId="492450399">
    <w:abstractNumId w:val="7"/>
  </w:num>
  <w:num w:numId="9" w16cid:durableId="1511290062">
    <w:abstractNumId w:val="16"/>
  </w:num>
  <w:num w:numId="10" w16cid:durableId="1135178936">
    <w:abstractNumId w:val="28"/>
  </w:num>
  <w:num w:numId="11" w16cid:durableId="1559627152">
    <w:abstractNumId w:val="3"/>
  </w:num>
  <w:num w:numId="12" w16cid:durableId="2046707761">
    <w:abstractNumId w:val="20"/>
  </w:num>
  <w:num w:numId="13" w16cid:durableId="1085103021">
    <w:abstractNumId w:val="2"/>
  </w:num>
  <w:num w:numId="14" w16cid:durableId="1689912324">
    <w:abstractNumId w:val="27"/>
  </w:num>
  <w:num w:numId="15" w16cid:durableId="1115293968">
    <w:abstractNumId w:val="9"/>
  </w:num>
  <w:num w:numId="16" w16cid:durableId="215513219">
    <w:abstractNumId w:val="25"/>
  </w:num>
  <w:num w:numId="17" w16cid:durableId="686172108">
    <w:abstractNumId w:val="12"/>
  </w:num>
  <w:num w:numId="18" w16cid:durableId="1917936454">
    <w:abstractNumId w:val="26"/>
  </w:num>
  <w:num w:numId="19" w16cid:durableId="1683237102">
    <w:abstractNumId w:val="0"/>
  </w:num>
  <w:num w:numId="20" w16cid:durableId="2088502605">
    <w:abstractNumId w:val="4"/>
  </w:num>
  <w:num w:numId="21" w16cid:durableId="1386635100">
    <w:abstractNumId w:val="30"/>
  </w:num>
  <w:num w:numId="22" w16cid:durableId="548956751">
    <w:abstractNumId w:val="32"/>
  </w:num>
  <w:num w:numId="23" w16cid:durableId="1612128135">
    <w:abstractNumId w:val="33"/>
  </w:num>
  <w:num w:numId="24" w16cid:durableId="16665874">
    <w:abstractNumId w:val="22"/>
  </w:num>
  <w:num w:numId="25" w16cid:durableId="1900900266">
    <w:abstractNumId w:val="23"/>
  </w:num>
  <w:num w:numId="26" w16cid:durableId="1177647187">
    <w:abstractNumId w:val="5"/>
  </w:num>
  <w:num w:numId="27" w16cid:durableId="225922875">
    <w:abstractNumId w:val="21"/>
  </w:num>
  <w:num w:numId="28" w16cid:durableId="161943111">
    <w:abstractNumId w:val="8"/>
  </w:num>
  <w:num w:numId="29" w16cid:durableId="138957970">
    <w:abstractNumId w:val="24"/>
  </w:num>
  <w:num w:numId="30" w16cid:durableId="640042785">
    <w:abstractNumId w:val="15"/>
  </w:num>
  <w:num w:numId="31" w16cid:durableId="713505564">
    <w:abstractNumId w:val="6"/>
  </w:num>
  <w:num w:numId="32" w16cid:durableId="1516455639">
    <w:abstractNumId w:val="31"/>
  </w:num>
  <w:num w:numId="33" w16cid:durableId="1156720795">
    <w:abstractNumId w:val="29"/>
  </w:num>
  <w:num w:numId="34" w16cid:durableId="1563175082">
    <w:abstractNumId w:val="13"/>
  </w:num>
  <w:num w:numId="35" w16cid:durableId="541868648">
    <w:abstractNumId w:val="19"/>
  </w:num>
  <w:num w:numId="36" w16cid:durableId="13287471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1858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91FAD"/>
    <w:rsid w:val="00095323"/>
    <w:rsid w:val="000B0FC1"/>
    <w:rsid w:val="000B28B7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4234"/>
    <w:rsid w:val="0018500F"/>
    <w:rsid w:val="00185A44"/>
    <w:rsid w:val="00190DC4"/>
    <w:rsid w:val="0019557B"/>
    <w:rsid w:val="001A0A1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4B50"/>
    <w:rsid w:val="001E79C0"/>
    <w:rsid w:val="001F095D"/>
    <w:rsid w:val="001F5035"/>
    <w:rsid w:val="001F736E"/>
    <w:rsid w:val="0020024F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63871"/>
    <w:rsid w:val="00273365"/>
    <w:rsid w:val="00274B57"/>
    <w:rsid w:val="00275641"/>
    <w:rsid w:val="00284AE8"/>
    <w:rsid w:val="0028657E"/>
    <w:rsid w:val="00291FB4"/>
    <w:rsid w:val="002934E8"/>
    <w:rsid w:val="002A6B26"/>
    <w:rsid w:val="002B13E7"/>
    <w:rsid w:val="002B3171"/>
    <w:rsid w:val="002B3624"/>
    <w:rsid w:val="002B3F21"/>
    <w:rsid w:val="002B7556"/>
    <w:rsid w:val="002E1648"/>
    <w:rsid w:val="002F34C0"/>
    <w:rsid w:val="003036C4"/>
    <w:rsid w:val="00313402"/>
    <w:rsid w:val="00320997"/>
    <w:rsid w:val="0033200A"/>
    <w:rsid w:val="00334D8D"/>
    <w:rsid w:val="00335B41"/>
    <w:rsid w:val="00344533"/>
    <w:rsid w:val="00346014"/>
    <w:rsid w:val="003507FD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16FA8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A26E0"/>
    <w:rsid w:val="004A6E6B"/>
    <w:rsid w:val="004B18D9"/>
    <w:rsid w:val="004B65A3"/>
    <w:rsid w:val="004C0936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3323E"/>
    <w:rsid w:val="00540B27"/>
    <w:rsid w:val="00544B69"/>
    <w:rsid w:val="00546EB3"/>
    <w:rsid w:val="0055314C"/>
    <w:rsid w:val="005644B3"/>
    <w:rsid w:val="00564E09"/>
    <w:rsid w:val="00585354"/>
    <w:rsid w:val="005B0AF6"/>
    <w:rsid w:val="005C58DC"/>
    <w:rsid w:val="005D325A"/>
    <w:rsid w:val="005E12C8"/>
    <w:rsid w:val="005E5D5D"/>
    <w:rsid w:val="005E706B"/>
    <w:rsid w:val="005F3E19"/>
    <w:rsid w:val="00614555"/>
    <w:rsid w:val="006153AC"/>
    <w:rsid w:val="00636968"/>
    <w:rsid w:val="00642031"/>
    <w:rsid w:val="00642333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1E66"/>
    <w:rsid w:val="006B36DC"/>
    <w:rsid w:val="006B4DB7"/>
    <w:rsid w:val="006B6068"/>
    <w:rsid w:val="006C0EA4"/>
    <w:rsid w:val="006C4DF2"/>
    <w:rsid w:val="006C62FB"/>
    <w:rsid w:val="006E0428"/>
    <w:rsid w:val="006E04D3"/>
    <w:rsid w:val="006E215D"/>
    <w:rsid w:val="006E2DC7"/>
    <w:rsid w:val="006E34C3"/>
    <w:rsid w:val="006E6562"/>
    <w:rsid w:val="006F17B8"/>
    <w:rsid w:val="006F68E9"/>
    <w:rsid w:val="00701301"/>
    <w:rsid w:val="00704AF9"/>
    <w:rsid w:val="00714DE9"/>
    <w:rsid w:val="0072372B"/>
    <w:rsid w:val="00730C99"/>
    <w:rsid w:val="00733903"/>
    <w:rsid w:val="00742357"/>
    <w:rsid w:val="00743EFF"/>
    <w:rsid w:val="00745EB1"/>
    <w:rsid w:val="00752162"/>
    <w:rsid w:val="00754357"/>
    <w:rsid w:val="00754B31"/>
    <w:rsid w:val="00756240"/>
    <w:rsid w:val="007624F1"/>
    <w:rsid w:val="007630EF"/>
    <w:rsid w:val="007636DC"/>
    <w:rsid w:val="007821E6"/>
    <w:rsid w:val="00782C01"/>
    <w:rsid w:val="007835AF"/>
    <w:rsid w:val="0078531A"/>
    <w:rsid w:val="00795493"/>
    <w:rsid w:val="0079573F"/>
    <w:rsid w:val="007A00A9"/>
    <w:rsid w:val="007A08EE"/>
    <w:rsid w:val="007A277F"/>
    <w:rsid w:val="007B2284"/>
    <w:rsid w:val="007F3698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95404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8F5D16"/>
    <w:rsid w:val="00902E93"/>
    <w:rsid w:val="0091179D"/>
    <w:rsid w:val="00917B5E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052E"/>
    <w:rsid w:val="009B6242"/>
    <w:rsid w:val="009C14AC"/>
    <w:rsid w:val="009C364D"/>
    <w:rsid w:val="009C7382"/>
    <w:rsid w:val="009C7CC8"/>
    <w:rsid w:val="009D035F"/>
    <w:rsid w:val="009D38F5"/>
    <w:rsid w:val="009E5F02"/>
    <w:rsid w:val="009F60D0"/>
    <w:rsid w:val="009F6ADD"/>
    <w:rsid w:val="00A23A55"/>
    <w:rsid w:val="00A33ABD"/>
    <w:rsid w:val="00A378D2"/>
    <w:rsid w:val="00A461A8"/>
    <w:rsid w:val="00A4695F"/>
    <w:rsid w:val="00A51834"/>
    <w:rsid w:val="00A66B72"/>
    <w:rsid w:val="00A71C9A"/>
    <w:rsid w:val="00A73FD1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E79A6"/>
    <w:rsid w:val="00AF46F5"/>
    <w:rsid w:val="00AF5742"/>
    <w:rsid w:val="00AF77F1"/>
    <w:rsid w:val="00B20553"/>
    <w:rsid w:val="00B267B6"/>
    <w:rsid w:val="00B26A25"/>
    <w:rsid w:val="00B3037A"/>
    <w:rsid w:val="00B3096F"/>
    <w:rsid w:val="00B34DD3"/>
    <w:rsid w:val="00B44287"/>
    <w:rsid w:val="00B63690"/>
    <w:rsid w:val="00B735C3"/>
    <w:rsid w:val="00B7394B"/>
    <w:rsid w:val="00B95410"/>
    <w:rsid w:val="00BB0854"/>
    <w:rsid w:val="00BB45F6"/>
    <w:rsid w:val="00BC1ED0"/>
    <w:rsid w:val="00BC3DED"/>
    <w:rsid w:val="00BE44BA"/>
    <w:rsid w:val="00BE628C"/>
    <w:rsid w:val="00BF1771"/>
    <w:rsid w:val="00C00EE5"/>
    <w:rsid w:val="00C0101A"/>
    <w:rsid w:val="00C02770"/>
    <w:rsid w:val="00C05787"/>
    <w:rsid w:val="00C302B6"/>
    <w:rsid w:val="00C36279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0CEF"/>
    <w:rsid w:val="00C86547"/>
    <w:rsid w:val="00C92423"/>
    <w:rsid w:val="00C9661E"/>
    <w:rsid w:val="00C97F94"/>
    <w:rsid w:val="00CA1B29"/>
    <w:rsid w:val="00CA5CB6"/>
    <w:rsid w:val="00CA6ECA"/>
    <w:rsid w:val="00CA769A"/>
    <w:rsid w:val="00CB0489"/>
    <w:rsid w:val="00CB314D"/>
    <w:rsid w:val="00CC7717"/>
    <w:rsid w:val="00CD0C0F"/>
    <w:rsid w:val="00CD350B"/>
    <w:rsid w:val="00CD404B"/>
    <w:rsid w:val="00CD5507"/>
    <w:rsid w:val="00CF3A9E"/>
    <w:rsid w:val="00CF6D5B"/>
    <w:rsid w:val="00D072F3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D4398"/>
    <w:rsid w:val="00DF0D9C"/>
    <w:rsid w:val="00DF2EA9"/>
    <w:rsid w:val="00DF598F"/>
    <w:rsid w:val="00DF6091"/>
    <w:rsid w:val="00E018A6"/>
    <w:rsid w:val="00E02BD8"/>
    <w:rsid w:val="00E1454D"/>
    <w:rsid w:val="00E1508B"/>
    <w:rsid w:val="00E15499"/>
    <w:rsid w:val="00E20EDC"/>
    <w:rsid w:val="00E227F1"/>
    <w:rsid w:val="00E2384F"/>
    <w:rsid w:val="00E30DEB"/>
    <w:rsid w:val="00E3400B"/>
    <w:rsid w:val="00E35A23"/>
    <w:rsid w:val="00E47B03"/>
    <w:rsid w:val="00E64205"/>
    <w:rsid w:val="00E64598"/>
    <w:rsid w:val="00E6497E"/>
    <w:rsid w:val="00E707A2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C05C3"/>
    <w:rsid w:val="00EC4926"/>
    <w:rsid w:val="00EC6B84"/>
    <w:rsid w:val="00EF78C4"/>
    <w:rsid w:val="00F001E6"/>
    <w:rsid w:val="00F050EE"/>
    <w:rsid w:val="00F06E6B"/>
    <w:rsid w:val="00F12820"/>
    <w:rsid w:val="00F26FCC"/>
    <w:rsid w:val="00F31C03"/>
    <w:rsid w:val="00F41256"/>
    <w:rsid w:val="00F5224C"/>
    <w:rsid w:val="00F53EBE"/>
    <w:rsid w:val="00F7742B"/>
    <w:rsid w:val="00F97656"/>
    <w:rsid w:val="00FA4B18"/>
    <w:rsid w:val="00FA4BB4"/>
    <w:rsid w:val="00FB09D1"/>
    <w:rsid w:val="00FB3348"/>
    <w:rsid w:val="00FC04B7"/>
    <w:rsid w:val="00FC17C4"/>
    <w:rsid w:val="00FD20E7"/>
    <w:rsid w:val="00FE194E"/>
    <w:rsid w:val="00FE44ED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7078E"/>
  <w15:docId w15:val="{A3A64414-C8D0-4AEC-8E6F-9E2CCCA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91B3-3599-4CE1-A047-EB5452AE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118</cp:revision>
  <cp:lastPrinted>2012-03-01T12:35:00Z</cp:lastPrinted>
  <dcterms:created xsi:type="dcterms:W3CDTF">2017-04-06T21:50:00Z</dcterms:created>
  <dcterms:modified xsi:type="dcterms:W3CDTF">2022-09-13T17:24:00Z</dcterms:modified>
</cp:coreProperties>
</file>