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BD8A" w14:textId="14E87AA3" w:rsidR="002C589F" w:rsidRDefault="00914197" w:rsidP="002C589F">
      <w:pPr>
        <w:pStyle w:val="Default"/>
      </w:pPr>
      <w:r>
        <w:t xml:space="preserv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2C589F" w:rsidRPr="00485C3E" w14:paraId="36CB30A7" w14:textId="77777777" w:rsidTr="00485C3E">
        <w:trPr>
          <w:trHeight w:val="147"/>
        </w:trPr>
        <w:tc>
          <w:tcPr>
            <w:tcW w:w="9180" w:type="dxa"/>
          </w:tcPr>
          <w:p w14:paraId="7643DDEB" w14:textId="3C619E92" w:rsidR="00485C3E" w:rsidRDefault="002D6D5F" w:rsidP="00485C3E">
            <w:pPr>
              <w:spacing w:after="0" w:line="240" w:lineRule="auto"/>
              <w:jc w:val="center"/>
              <w:rPr>
                <w:b/>
                <w:bCs/>
              </w:rPr>
            </w:pPr>
            <w:r w:rsidRPr="002D6D5F">
              <w:rPr>
                <w:b/>
                <w:bCs/>
              </w:rPr>
              <w:t>FERS.01.05-IP.08-008/23</w:t>
            </w:r>
            <w:r>
              <w:rPr>
                <w:b/>
                <w:bCs/>
              </w:rPr>
              <w:t xml:space="preserve"> </w:t>
            </w:r>
            <w:r w:rsidR="00485C3E" w:rsidRPr="00485C3E">
              <w:rPr>
                <w:b/>
                <w:bCs/>
              </w:rPr>
              <w:t>–</w:t>
            </w:r>
            <w:r w:rsidR="002C589F" w:rsidRPr="00485C3E">
              <w:rPr>
                <w:b/>
                <w:bCs/>
              </w:rPr>
              <w:t xml:space="preserve"> </w:t>
            </w:r>
            <w:r w:rsidR="0054356C" w:rsidRPr="0054356C">
              <w:rPr>
                <w:b/>
                <w:bCs/>
              </w:rPr>
              <w:t>Rozwój kwalifikacji i kompetencji osób dorosłych</w:t>
            </w:r>
          </w:p>
          <w:p w14:paraId="7DF020C2" w14:textId="77777777" w:rsidR="00485C3E" w:rsidRDefault="00485C3E" w:rsidP="00485C3E">
            <w:pPr>
              <w:spacing w:after="0" w:line="240" w:lineRule="auto"/>
              <w:jc w:val="center"/>
              <w:rPr>
                <w:b/>
                <w:bCs/>
              </w:rPr>
            </w:pPr>
          </w:p>
          <w:p w14:paraId="652E2F4A" w14:textId="77777777" w:rsidR="002D6D5F" w:rsidRDefault="00485C3E" w:rsidP="00485C3E">
            <w:pPr>
              <w:spacing w:after="0" w:line="240" w:lineRule="auto"/>
              <w:jc w:val="both"/>
              <w:rPr>
                <w:b/>
                <w:bCs/>
                <w:u w:val="single"/>
              </w:rPr>
            </w:pPr>
            <w:r w:rsidRPr="00485C3E">
              <w:rPr>
                <w:b/>
                <w:bCs/>
                <w:u w:val="single"/>
              </w:rPr>
              <w:t>Wyciąg z Regulaminu</w:t>
            </w:r>
            <w:r w:rsidR="002D6D5F">
              <w:rPr>
                <w:b/>
                <w:bCs/>
                <w:u w:val="single"/>
              </w:rPr>
              <w:t>:</w:t>
            </w:r>
          </w:p>
          <w:p w14:paraId="1BA45F8E" w14:textId="77777777" w:rsidR="002D6D5F" w:rsidRDefault="002D6D5F" w:rsidP="00485C3E">
            <w:pPr>
              <w:spacing w:after="0" w:line="240" w:lineRule="auto"/>
              <w:jc w:val="both"/>
              <w:rPr>
                <w:b/>
                <w:bCs/>
                <w:u w:val="single"/>
              </w:rPr>
            </w:pPr>
          </w:p>
          <w:p w14:paraId="6D716DAA" w14:textId="318F69AA" w:rsidR="002D6D5F" w:rsidRPr="002D6D5F" w:rsidRDefault="002D6D5F" w:rsidP="002D6D5F">
            <w:pPr>
              <w:pStyle w:val="Akapitzlist"/>
              <w:numPr>
                <w:ilvl w:val="0"/>
                <w:numId w:val="12"/>
              </w:numPr>
              <w:autoSpaceDE w:val="0"/>
              <w:autoSpaceDN w:val="0"/>
              <w:adjustRightInd w:val="0"/>
              <w:spacing w:after="306" w:line="240" w:lineRule="auto"/>
              <w:jc w:val="both"/>
              <w:rPr>
                <w:rFonts w:ascii="Calibri" w:hAnsi="Calibri" w:cs="Calibri"/>
              </w:rPr>
            </w:pPr>
            <w:r w:rsidRPr="002D6D5F">
              <w:rPr>
                <w:rFonts w:ascii="Calibri" w:hAnsi="Calibri" w:cs="Calibri"/>
              </w:rPr>
              <w:t>Dofinansowanie mogą otrzymać projekty wspierające ideę uczenia się przez całe życie, obejmujące działania mające na celu dostosowanie kwalifikacji lub kompetencji osób dorosłych do potrzeb i oczekiwań pracodawców i rynku pracy – przekwalifikowania się (</w:t>
            </w:r>
            <w:proofErr w:type="spellStart"/>
            <w:r w:rsidRPr="009A168B">
              <w:rPr>
                <w:rFonts w:ascii="Calibri" w:hAnsi="Calibri" w:cs="Calibri"/>
                <w:b/>
              </w:rPr>
              <w:t>reskilling</w:t>
            </w:r>
            <w:proofErr w:type="spellEnd"/>
            <w:r w:rsidRPr="002D6D5F">
              <w:rPr>
                <w:rFonts w:ascii="Calibri" w:hAnsi="Calibri" w:cs="Calibri"/>
              </w:rPr>
              <w:t>), wypełnienia luk w umiejętnościach (</w:t>
            </w:r>
            <w:proofErr w:type="spellStart"/>
            <w:r w:rsidRPr="009A168B">
              <w:rPr>
                <w:rFonts w:ascii="Calibri" w:hAnsi="Calibri" w:cs="Calibri"/>
                <w:b/>
              </w:rPr>
              <w:t>skills</w:t>
            </w:r>
            <w:proofErr w:type="spellEnd"/>
            <w:r w:rsidRPr="009A168B">
              <w:rPr>
                <w:rFonts w:ascii="Calibri" w:hAnsi="Calibri" w:cs="Calibri"/>
                <w:b/>
              </w:rPr>
              <w:t xml:space="preserve"> gap</w:t>
            </w:r>
            <w:r w:rsidRPr="002D6D5F">
              <w:rPr>
                <w:rFonts w:ascii="Calibri" w:hAnsi="Calibri" w:cs="Calibri"/>
              </w:rPr>
              <w:t xml:space="preserve">) poprzez opracowanie programów i realizację działań dydaktycznych, np. kursów, szkoleń, warsztatów. Projekty mogą również obejmować uruchamianie i realizację kształcenia specjalistycznego na 5. poziomie Polskiej Ramy Kwalifikacji (PRK). </w:t>
            </w:r>
          </w:p>
          <w:p w14:paraId="0D254F2E" w14:textId="46B19D8B" w:rsidR="002D6D5F" w:rsidRPr="002D6D5F" w:rsidRDefault="002D6D5F" w:rsidP="002D6D5F">
            <w:pPr>
              <w:pStyle w:val="Akapitzlist"/>
              <w:numPr>
                <w:ilvl w:val="0"/>
                <w:numId w:val="12"/>
              </w:numPr>
              <w:autoSpaceDE w:val="0"/>
              <w:autoSpaceDN w:val="0"/>
              <w:adjustRightInd w:val="0"/>
              <w:spacing w:after="306" w:line="240" w:lineRule="auto"/>
              <w:jc w:val="both"/>
              <w:rPr>
                <w:rFonts w:ascii="Calibri" w:hAnsi="Calibri" w:cs="Calibri"/>
              </w:rPr>
            </w:pPr>
            <w:r w:rsidRPr="002D6D5F">
              <w:rPr>
                <w:rFonts w:ascii="Calibri" w:hAnsi="Calibri" w:cs="Calibri"/>
              </w:rPr>
              <w:t xml:space="preserve">Grupę docelową w projektach stanowią </w:t>
            </w:r>
            <w:r w:rsidRPr="00810924">
              <w:rPr>
                <w:rFonts w:ascii="Calibri" w:hAnsi="Calibri" w:cs="Calibri"/>
                <w:b/>
              </w:rPr>
              <w:t>osoby w wieku 18-64 lat</w:t>
            </w:r>
            <w:r w:rsidRPr="002D6D5F">
              <w:rPr>
                <w:rFonts w:ascii="Calibri" w:hAnsi="Calibri" w:cs="Calibri"/>
              </w:rPr>
              <w:t xml:space="preserve"> (w momencie przystąpienia do projektu), niezależnie od płci. </w:t>
            </w:r>
          </w:p>
          <w:p w14:paraId="09D3BB2A" w14:textId="77777777" w:rsidR="002D6D5F" w:rsidRDefault="002D6D5F" w:rsidP="002D6D5F">
            <w:pPr>
              <w:pStyle w:val="Akapitzlist"/>
              <w:numPr>
                <w:ilvl w:val="0"/>
                <w:numId w:val="12"/>
              </w:numPr>
              <w:autoSpaceDE w:val="0"/>
              <w:autoSpaceDN w:val="0"/>
              <w:adjustRightInd w:val="0"/>
              <w:spacing w:after="306" w:line="240" w:lineRule="auto"/>
              <w:jc w:val="both"/>
              <w:rPr>
                <w:rFonts w:ascii="Calibri" w:hAnsi="Calibri" w:cs="Calibri"/>
              </w:rPr>
            </w:pPr>
            <w:r w:rsidRPr="002D6D5F">
              <w:rPr>
                <w:rFonts w:ascii="Calibri" w:hAnsi="Calibri" w:cs="Calibri"/>
              </w:rPr>
              <w:t xml:space="preserve">Wnioskodawca weryfikuje kwalifikowalność uczestnika projektu przed udzieleniem pierwszej formy wsparcia. Dokumentem potwierdzającym kwalifikowalność uczestnika może być dokument, w którym będzie wskazany numer PESEL lub data urodzenia, np. formularz rekrutacyjny/zgłoszeniowy. </w:t>
            </w:r>
          </w:p>
          <w:p w14:paraId="75F0C749" w14:textId="6F142E22" w:rsidR="002D6D5F" w:rsidRDefault="002D6D5F" w:rsidP="002D6D5F">
            <w:pPr>
              <w:pStyle w:val="Akapitzlist"/>
              <w:numPr>
                <w:ilvl w:val="0"/>
                <w:numId w:val="12"/>
              </w:numPr>
              <w:autoSpaceDE w:val="0"/>
              <w:autoSpaceDN w:val="0"/>
              <w:adjustRightInd w:val="0"/>
              <w:spacing w:after="306" w:line="240" w:lineRule="auto"/>
              <w:jc w:val="both"/>
              <w:rPr>
                <w:rFonts w:ascii="Calibri" w:hAnsi="Calibri" w:cs="Calibri"/>
              </w:rPr>
            </w:pPr>
            <w:r w:rsidRPr="00810924">
              <w:rPr>
                <w:rFonts w:ascii="Calibri" w:hAnsi="Calibri" w:cs="Calibri"/>
                <w:b/>
              </w:rPr>
              <w:t>Wnioskodawca musi określić kwalifikacje lub kompetencje uczestników</w:t>
            </w:r>
            <w:r w:rsidRPr="002D6D5F">
              <w:rPr>
                <w:rFonts w:ascii="Calibri" w:hAnsi="Calibri" w:cs="Calibri"/>
              </w:rPr>
              <w:t xml:space="preserve"> będące przedmiotem działań w projekcie na podstawie przeprowadzonej diagnozy </w:t>
            </w:r>
            <w:r w:rsidRPr="00810924">
              <w:rPr>
                <w:rFonts w:ascii="Calibri" w:hAnsi="Calibri" w:cs="Calibri"/>
                <w:b/>
              </w:rPr>
              <w:t>wynikającej np. z analiz własnych, innych aktualnych dostępnych analiz lub strategii, opracowań dotyczących luk kompetencyjnych w odniesieniu do potrzeb rynku pracy i gospodarki</w:t>
            </w:r>
            <w:r>
              <w:rPr>
                <w:rFonts w:ascii="Calibri" w:hAnsi="Calibri" w:cs="Calibri"/>
              </w:rPr>
              <w:t>.</w:t>
            </w:r>
          </w:p>
          <w:p w14:paraId="1B88E0A8" w14:textId="77777777" w:rsidR="003B021E" w:rsidRDefault="00690B22" w:rsidP="009A168B">
            <w:pPr>
              <w:pStyle w:val="Akapitzlist"/>
              <w:numPr>
                <w:ilvl w:val="0"/>
                <w:numId w:val="12"/>
              </w:numPr>
              <w:autoSpaceDE w:val="0"/>
              <w:autoSpaceDN w:val="0"/>
              <w:adjustRightInd w:val="0"/>
              <w:spacing w:after="306" w:line="240" w:lineRule="auto"/>
              <w:jc w:val="both"/>
              <w:rPr>
                <w:rFonts w:ascii="Calibri" w:hAnsi="Calibri" w:cs="Calibri"/>
              </w:rPr>
            </w:pPr>
            <w:r w:rsidRPr="00690B22">
              <w:rPr>
                <w:rFonts w:ascii="Calibri" w:hAnsi="Calibri" w:cs="Calibri"/>
              </w:rPr>
              <w:t>Wsparcie w ramach naboru jest udzielane na projekty, które wchodzą w zakres działalności niegospodarczej wnioskodawcy</w:t>
            </w:r>
            <w:r>
              <w:rPr>
                <w:rFonts w:ascii="Calibri" w:hAnsi="Calibri" w:cs="Calibri"/>
              </w:rPr>
              <w:t xml:space="preserve">. </w:t>
            </w:r>
          </w:p>
          <w:p w14:paraId="485982FC" w14:textId="77777777" w:rsidR="003B021E" w:rsidRDefault="00690B22" w:rsidP="003B021E">
            <w:pPr>
              <w:pStyle w:val="Akapitzlist"/>
              <w:autoSpaceDE w:val="0"/>
              <w:autoSpaceDN w:val="0"/>
              <w:adjustRightInd w:val="0"/>
              <w:spacing w:after="306" w:line="240" w:lineRule="auto"/>
              <w:jc w:val="both"/>
              <w:rPr>
                <w:rFonts w:ascii="Calibri" w:hAnsi="Calibri" w:cs="Calibri"/>
              </w:rPr>
            </w:pPr>
            <w:r w:rsidRPr="00690B22">
              <w:rPr>
                <w:rFonts w:ascii="Calibri" w:hAnsi="Calibri" w:cs="Calibri"/>
              </w:rPr>
              <w:t>W związku z tym, że wsparcie udzielane jest w obszarze szkolnictwa wyższego należy mieć na uwadze, że wsparcie to jest udzielane co do zasady w ramach krajowego systemu kształcenia, finansowanego i nadzorowanego przez państwo m.in. w zakresie prowadzenia kształcenia na studiach, w tym</w:t>
            </w:r>
            <w:r>
              <w:rPr>
                <w:rFonts w:ascii="Calibri" w:hAnsi="Calibri" w:cs="Calibri"/>
              </w:rPr>
              <w:t xml:space="preserve"> </w:t>
            </w:r>
            <w:r w:rsidRPr="00690B22">
              <w:rPr>
                <w:rFonts w:ascii="Calibri" w:hAnsi="Calibri" w:cs="Calibri"/>
              </w:rPr>
              <w:t xml:space="preserve">studiach podyplomowych oraz innych form kształcenia, jak również prowadzenia działalności naukowej i badawczej i transferu technologii do gospodarki. </w:t>
            </w:r>
          </w:p>
          <w:p w14:paraId="25BE8153" w14:textId="660E2976" w:rsidR="009A168B" w:rsidRDefault="00690B22" w:rsidP="003B021E">
            <w:pPr>
              <w:pStyle w:val="Akapitzlist"/>
              <w:autoSpaceDE w:val="0"/>
              <w:autoSpaceDN w:val="0"/>
              <w:adjustRightInd w:val="0"/>
              <w:spacing w:after="306" w:line="240" w:lineRule="auto"/>
              <w:jc w:val="both"/>
              <w:rPr>
                <w:rFonts w:ascii="Calibri" w:hAnsi="Calibri" w:cs="Calibri"/>
              </w:rPr>
            </w:pPr>
            <w:r w:rsidRPr="00690B22">
              <w:rPr>
                <w:rFonts w:ascii="Calibri" w:hAnsi="Calibri" w:cs="Calibri"/>
              </w:rPr>
              <w:t>Celem tej działalności jest m.in. wypełnienie luk kompetencyjnych identyfikowanych na rynku, jak również zapewnianie coraz lepiej wykształconych zasobów ludzkich na poziomie całego kraju. Mając na uwadze cele udzielanego wsparcia istnieje zatem możliwość wyłączenia tego typu działalności spod reguł działalności gospodarczej.</w:t>
            </w:r>
          </w:p>
          <w:p w14:paraId="02824FFB" w14:textId="20ACFF0F" w:rsidR="009A168B" w:rsidRDefault="009A168B" w:rsidP="009A168B">
            <w:pPr>
              <w:pStyle w:val="Akapitzlist"/>
              <w:numPr>
                <w:ilvl w:val="0"/>
                <w:numId w:val="12"/>
              </w:numPr>
              <w:autoSpaceDE w:val="0"/>
              <w:autoSpaceDN w:val="0"/>
              <w:adjustRightInd w:val="0"/>
              <w:spacing w:after="306" w:line="240" w:lineRule="auto"/>
              <w:jc w:val="both"/>
              <w:rPr>
                <w:rFonts w:ascii="Calibri" w:hAnsi="Calibri" w:cs="Calibri"/>
              </w:rPr>
            </w:pPr>
            <w:r w:rsidRPr="009A168B">
              <w:rPr>
                <w:rFonts w:ascii="Calibri" w:hAnsi="Calibri" w:cs="Calibri"/>
              </w:rPr>
              <w:t xml:space="preserve">Wskaźniki </w:t>
            </w:r>
            <w:r>
              <w:rPr>
                <w:rFonts w:ascii="Calibri" w:hAnsi="Calibri" w:cs="Calibri"/>
              </w:rPr>
              <w:t>projektu</w:t>
            </w:r>
            <w:r w:rsidRPr="009A168B">
              <w:rPr>
                <w:rFonts w:ascii="Calibri" w:hAnsi="Calibri" w:cs="Calibri"/>
              </w:rPr>
              <w:t>:</w:t>
            </w:r>
          </w:p>
          <w:p w14:paraId="24A1D722" w14:textId="77777777" w:rsidR="009A168B" w:rsidRDefault="009A168B" w:rsidP="009A168B">
            <w:pPr>
              <w:pStyle w:val="Akapitzlist"/>
              <w:numPr>
                <w:ilvl w:val="1"/>
                <w:numId w:val="12"/>
              </w:numPr>
              <w:autoSpaceDE w:val="0"/>
              <w:autoSpaceDN w:val="0"/>
              <w:adjustRightInd w:val="0"/>
              <w:spacing w:after="306" w:line="240" w:lineRule="auto"/>
              <w:jc w:val="both"/>
              <w:rPr>
                <w:rFonts w:ascii="Calibri" w:hAnsi="Calibri" w:cs="Calibri"/>
              </w:rPr>
            </w:pPr>
            <w:r w:rsidRPr="009A168B">
              <w:rPr>
                <w:rFonts w:ascii="Calibri" w:hAnsi="Calibri" w:cs="Calibri"/>
              </w:rPr>
              <w:t>Liczba osób dorosłych objętych wsparciem uczelni w zakresie uczenia się przez całe życie - wskaźnik mierzy liczbę osób dorosłych biorących udział w realizowanych przez uczelnię kursach (inicjatywach) edukacyjnych mających na celu m.in. wsparcie przez uczelnie idei uczenia się przez cale życie (</w:t>
            </w:r>
            <w:proofErr w:type="spellStart"/>
            <w:r w:rsidRPr="009A168B">
              <w:rPr>
                <w:rFonts w:ascii="Calibri" w:hAnsi="Calibri" w:cs="Calibri"/>
                <w:b/>
              </w:rPr>
              <w:t>lifelong</w:t>
            </w:r>
            <w:proofErr w:type="spellEnd"/>
            <w:r w:rsidRPr="009A168B">
              <w:rPr>
                <w:rFonts w:ascii="Calibri" w:hAnsi="Calibri" w:cs="Calibri"/>
                <w:b/>
              </w:rPr>
              <w:t xml:space="preserve"> learning</w:t>
            </w:r>
            <w:r w:rsidRPr="009A168B">
              <w:rPr>
                <w:rFonts w:ascii="Calibri" w:hAnsi="Calibri" w:cs="Calibri"/>
              </w:rPr>
              <w:t>), a także nabywanie kompetencji lub kwalifikacji dopasowanych do oczekiwań pracodawców - przekwalifikowanie (</w:t>
            </w:r>
            <w:proofErr w:type="spellStart"/>
            <w:r w:rsidRPr="009A168B">
              <w:rPr>
                <w:rFonts w:ascii="Calibri" w:hAnsi="Calibri" w:cs="Calibri"/>
                <w:b/>
              </w:rPr>
              <w:t>reskilling</w:t>
            </w:r>
            <w:proofErr w:type="spellEnd"/>
            <w:r w:rsidRPr="009A168B">
              <w:rPr>
                <w:rFonts w:ascii="Calibri" w:hAnsi="Calibri" w:cs="Calibri"/>
              </w:rPr>
              <w:t>), wypełnianie luk w umiejętnościach (</w:t>
            </w:r>
            <w:proofErr w:type="spellStart"/>
            <w:r w:rsidRPr="009A168B">
              <w:rPr>
                <w:rFonts w:ascii="Calibri" w:hAnsi="Calibri" w:cs="Calibri"/>
                <w:b/>
              </w:rPr>
              <w:t>skills</w:t>
            </w:r>
            <w:proofErr w:type="spellEnd"/>
            <w:r w:rsidRPr="009A168B">
              <w:rPr>
                <w:rFonts w:ascii="Calibri" w:hAnsi="Calibri" w:cs="Calibri"/>
                <w:b/>
              </w:rPr>
              <w:t xml:space="preserve"> gap</w:t>
            </w:r>
            <w:r w:rsidRPr="009A168B">
              <w:rPr>
                <w:rFonts w:ascii="Calibri" w:hAnsi="Calibri" w:cs="Calibri"/>
              </w:rPr>
              <w:t>) oraz kształcenie kadr na potrzeby zielonej i cyfrowej gospodarki (</w:t>
            </w:r>
            <w:proofErr w:type="spellStart"/>
            <w:r w:rsidRPr="009A168B">
              <w:rPr>
                <w:rFonts w:ascii="Calibri" w:hAnsi="Calibri" w:cs="Calibri"/>
                <w:b/>
              </w:rPr>
              <w:t>green</w:t>
            </w:r>
            <w:proofErr w:type="spellEnd"/>
            <w:r w:rsidRPr="009A168B">
              <w:rPr>
                <w:rFonts w:ascii="Calibri" w:hAnsi="Calibri" w:cs="Calibri"/>
                <w:b/>
              </w:rPr>
              <w:t xml:space="preserve"> and </w:t>
            </w:r>
            <w:proofErr w:type="spellStart"/>
            <w:r w:rsidRPr="009A168B">
              <w:rPr>
                <w:rFonts w:ascii="Calibri" w:hAnsi="Calibri" w:cs="Calibri"/>
                <w:b/>
              </w:rPr>
              <w:t>digital</w:t>
            </w:r>
            <w:proofErr w:type="spellEnd"/>
            <w:r w:rsidRPr="009A168B">
              <w:rPr>
                <w:rFonts w:ascii="Calibri" w:hAnsi="Calibri" w:cs="Calibri"/>
                <w:b/>
              </w:rPr>
              <w:t xml:space="preserve"> </w:t>
            </w:r>
            <w:proofErr w:type="spellStart"/>
            <w:r w:rsidRPr="009A168B">
              <w:rPr>
                <w:rFonts w:ascii="Calibri" w:hAnsi="Calibri" w:cs="Calibri"/>
                <w:b/>
              </w:rPr>
              <w:t>skills</w:t>
            </w:r>
            <w:proofErr w:type="spellEnd"/>
            <w:r w:rsidRPr="009A168B">
              <w:rPr>
                <w:rFonts w:ascii="Calibri" w:hAnsi="Calibri" w:cs="Calibri"/>
              </w:rPr>
              <w:t>).</w:t>
            </w:r>
          </w:p>
          <w:p w14:paraId="72BC81B8" w14:textId="77777777" w:rsidR="00C07085" w:rsidRDefault="002D6D5F" w:rsidP="00C07085">
            <w:pPr>
              <w:pStyle w:val="Akapitzlist"/>
              <w:numPr>
                <w:ilvl w:val="0"/>
                <w:numId w:val="12"/>
              </w:numPr>
              <w:autoSpaceDE w:val="0"/>
              <w:autoSpaceDN w:val="0"/>
              <w:adjustRightInd w:val="0"/>
              <w:spacing w:after="306" w:line="240" w:lineRule="auto"/>
              <w:jc w:val="both"/>
              <w:rPr>
                <w:rFonts w:ascii="Calibri" w:hAnsi="Calibri" w:cs="Calibri"/>
              </w:rPr>
            </w:pPr>
            <w:r w:rsidRPr="002D6D5F">
              <w:rPr>
                <w:rFonts w:ascii="Calibri" w:hAnsi="Calibri" w:cs="Calibri"/>
              </w:rPr>
              <w:t>Zakupy mebli, sprzętu i pojazdów (poza cross-</w:t>
            </w:r>
            <w:proofErr w:type="spellStart"/>
            <w:r w:rsidRPr="002D6D5F">
              <w:rPr>
                <w:rFonts w:ascii="Calibri" w:hAnsi="Calibri" w:cs="Calibri"/>
              </w:rPr>
              <w:t>financingiem</w:t>
            </w:r>
            <w:proofErr w:type="spellEnd"/>
            <w:r w:rsidRPr="002D6D5F">
              <w:rPr>
                <w:rFonts w:ascii="Calibri" w:hAnsi="Calibri" w:cs="Calibri"/>
              </w:rPr>
              <w:t>) są kwalifikowalne, gdy:</w:t>
            </w:r>
          </w:p>
          <w:p w14:paraId="1836E648" w14:textId="77777777" w:rsidR="00C07085" w:rsidRDefault="002D6D5F" w:rsidP="00C07085">
            <w:pPr>
              <w:pStyle w:val="Akapitzlist"/>
              <w:numPr>
                <w:ilvl w:val="1"/>
                <w:numId w:val="12"/>
              </w:numPr>
              <w:autoSpaceDE w:val="0"/>
              <w:autoSpaceDN w:val="0"/>
              <w:adjustRightInd w:val="0"/>
              <w:spacing w:after="306" w:line="240" w:lineRule="auto"/>
              <w:jc w:val="both"/>
              <w:rPr>
                <w:rFonts w:ascii="Calibri" w:hAnsi="Calibri" w:cs="Calibri"/>
              </w:rPr>
            </w:pPr>
            <w:r w:rsidRPr="00C07085">
              <w:rPr>
                <w:rFonts w:ascii="Calibri" w:hAnsi="Calibri" w:cs="Calibri"/>
              </w:rPr>
              <w:t>zakupy te zostaną zamortyzowane w całości w trakcie realizacji projektu lub</w:t>
            </w:r>
          </w:p>
          <w:p w14:paraId="61384203" w14:textId="77777777" w:rsidR="00C07085" w:rsidRDefault="002D6D5F" w:rsidP="00C07085">
            <w:pPr>
              <w:pStyle w:val="Akapitzlist"/>
              <w:numPr>
                <w:ilvl w:val="1"/>
                <w:numId w:val="12"/>
              </w:numPr>
              <w:autoSpaceDE w:val="0"/>
              <w:autoSpaceDN w:val="0"/>
              <w:adjustRightInd w:val="0"/>
              <w:spacing w:after="306" w:line="240" w:lineRule="auto"/>
              <w:jc w:val="both"/>
              <w:rPr>
                <w:rFonts w:ascii="Calibri" w:hAnsi="Calibri" w:cs="Calibri"/>
              </w:rPr>
            </w:pPr>
            <w:r w:rsidRPr="00C07085">
              <w:rPr>
                <w:rFonts w:ascii="Calibri" w:hAnsi="Calibri" w:cs="Calibri"/>
              </w:rPr>
              <w:t>wnioskodawca udowodni, że zakup będzie najbardziej opłacalną opcją lub</w:t>
            </w:r>
          </w:p>
          <w:p w14:paraId="26661F4A" w14:textId="022504DD" w:rsidR="00485C3E" w:rsidRPr="00C07085" w:rsidRDefault="002D6D5F" w:rsidP="00C07085">
            <w:pPr>
              <w:pStyle w:val="Akapitzlist"/>
              <w:numPr>
                <w:ilvl w:val="1"/>
                <w:numId w:val="12"/>
              </w:numPr>
              <w:autoSpaceDE w:val="0"/>
              <w:autoSpaceDN w:val="0"/>
              <w:adjustRightInd w:val="0"/>
              <w:spacing w:after="306" w:line="240" w:lineRule="auto"/>
              <w:jc w:val="both"/>
              <w:rPr>
                <w:rFonts w:ascii="Calibri" w:hAnsi="Calibri" w:cs="Calibri"/>
              </w:rPr>
            </w:pPr>
            <w:r w:rsidRPr="00C07085">
              <w:rPr>
                <w:rFonts w:ascii="Calibri" w:hAnsi="Calibri" w:cs="Calibri"/>
              </w:rPr>
              <w:t>zakupy te są konieczne dla osiągnięcia celów projektu.</w:t>
            </w:r>
          </w:p>
        </w:tc>
      </w:tr>
      <w:tr w:rsidR="00C07085" w:rsidRPr="00485C3E" w14:paraId="5CEBB041" w14:textId="77777777" w:rsidTr="00485C3E">
        <w:trPr>
          <w:trHeight w:val="147"/>
        </w:trPr>
        <w:tc>
          <w:tcPr>
            <w:tcW w:w="9180" w:type="dxa"/>
          </w:tcPr>
          <w:p w14:paraId="521DD11A" w14:textId="77777777" w:rsidR="00C07085" w:rsidRPr="002D6D5F" w:rsidRDefault="00C07085" w:rsidP="00485C3E">
            <w:pPr>
              <w:spacing w:after="0" w:line="240" w:lineRule="auto"/>
              <w:jc w:val="center"/>
              <w:rPr>
                <w:b/>
                <w:bCs/>
              </w:rPr>
            </w:pPr>
          </w:p>
        </w:tc>
      </w:tr>
    </w:tbl>
    <w:p w14:paraId="0C23B4AD" w14:textId="6D01C950" w:rsidR="006C7001" w:rsidRDefault="006C7001" w:rsidP="00485C3E">
      <w:pPr>
        <w:spacing w:after="0" w:line="240" w:lineRule="auto"/>
        <w:jc w:val="both"/>
        <w:rPr>
          <w:u w:val="single"/>
        </w:rPr>
      </w:pPr>
    </w:p>
    <w:p w14:paraId="7894FE4A" w14:textId="77777777" w:rsidR="006C7001" w:rsidRDefault="006C7001">
      <w:pPr>
        <w:rPr>
          <w:u w:val="single"/>
        </w:rPr>
      </w:pPr>
      <w:r>
        <w:rPr>
          <w:u w:val="single"/>
        </w:rPr>
        <w:br w:type="page"/>
      </w:r>
    </w:p>
    <w:p w14:paraId="63918CDD" w14:textId="77777777" w:rsidR="003E5952" w:rsidRDefault="003E5952" w:rsidP="006C7001">
      <w:pPr>
        <w:spacing w:after="0" w:line="240" w:lineRule="auto"/>
        <w:jc w:val="center"/>
        <w:rPr>
          <w:b/>
          <w:bCs/>
        </w:rPr>
      </w:pPr>
    </w:p>
    <w:p w14:paraId="06EC6362" w14:textId="15E24EEB" w:rsidR="006C7001" w:rsidRDefault="00BE5BE7" w:rsidP="006C7001">
      <w:pPr>
        <w:spacing w:after="0" w:line="240" w:lineRule="auto"/>
        <w:jc w:val="center"/>
        <w:rPr>
          <w:b/>
          <w:bCs/>
        </w:rPr>
      </w:pPr>
      <w:r>
        <w:rPr>
          <w:b/>
          <w:bCs/>
        </w:rPr>
        <w:t xml:space="preserve">Formularz zgłoszeniowy </w:t>
      </w:r>
      <w:r w:rsidR="0054356C">
        <w:rPr>
          <w:b/>
          <w:bCs/>
        </w:rPr>
        <w:t>2.0</w:t>
      </w:r>
    </w:p>
    <w:p w14:paraId="1CA37DE9" w14:textId="0828E9A8" w:rsidR="005E341D" w:rsidRDefault="005E341D" w:rsidP="006C7001">
      <w:pPr>
        <w:spacing w:after="0" w:line="240" w:lineRule="auto"/>
        <w:jc w:val="center"/>
        <w:rPr>
          <w:b/>
          <w:bCs/>
        </w:rPr>
      </w:pPr>
      <w:r>
        <w:rPr>
          <w:b/>
          <w:bCs/>
        </w:rPr>
        <w:t xml:space="preserve">należy przekazać w terminie od </w:t>
      </w:r>
      <w:r w:rsidR="002D6D5F">
        <w:rPr>
          <w:b/>
          <w:bCs/>
        </w:rPr>
        <w:t>30</w:t>
      </w:r>
      <w:r>
        <w:rPr>
          <w:b/>
          <w:bCs/>
        </w:rPr>
        <w:t>.0</w:t>
      </w:r>
      <w:r w:rsidR="002D6D5F">
        <w:rPr>
          <w:b/>
          <w:bCs/>
        </w:rPr>
        <w:t>8</w:t>
      </w:r>
      <w:r>
        <w:rPr>
          <w:b/>
          <w:bCs/>
        </w:rPr>
        <w:t>.2023 do 3</w:t>
      </w:r>
      <w:r w:rsidR="002D6D5F">
        <w:rPr>
          <w:b/>
          <w:bCs/>
        </w:rPr>
        <w:t>0</w:t>
      </w:r>
      <w:r>
        <w:rPr>
          <w:b/>
          <w:bCs/>
        </w:rPr>
        <w:t>.0</w:t>
      </w:r>
      <w:r w:rsidR="002D6D5F">
        <w:rPr>
          <w:b/>
          <w:bCs/>
        </w:rPr>
        <w:t>9</w:t>
      </w:r>
      <w:r>
        <w:rPr>
          <w:b/>
          <w:bCs/>
        </w:rPr>
        <w:t xml:space="preserve">.2023 </w:t>
      </w:r>
    </w:p>
    <w:p w14:paraId="2DA2A54B" w14:textId="76830B6A" w:rsidR="005E341D" w:rsidRDefault="005E341D" w:rsidP="006C7001">
      <w:pPr>
        <w:spacing w:after="0" w:line="240" w:lineRule="auto"/>
        <w:jc w:val="center"/>
        <w:rPr>
          <w:b/>
          <w:bCs/>
        </w:rPr>
      </w:pPr>
      <w:r>
        <w:rPr>
          <w:b/>
          <w:bCs/>
        </w:rPr>
        <w:t xml:space="preserve">na adres: </w:t>
      </w:r>
      <w:hyperlink r:id="rId8" w:history="1">
        <w:r w:rsidRPr="00975CDC">
          <w:rPr>
            <w:rStyle w:val="Hipercze"/>
            <w:b/>
            <w:bCs/>
          </w:rPr>
          <w:t>fundusze@pum.edu.pl</w:t>
        </w:r>
      </w:hyperlink>
      <w:r>
        <w:rPr>
          <w:b/>
          <w:bCs/>
        </w:rPr>
        <w:t xml:space="preserve"> </w:t>
      </w:r>
    </w:p>
    <w:p w14:paraId="1B8C3609" w14:textId="35AD5BE0" w:rsidR="005D21A7" w:rsidRDefault="005D21A7" w:rsidP="00485C3E">
      <w:pPr>
        <w:spacing w:after="0" w:line="240" w:lineRule="auto"/>
        <w:jc w:val="both"/>
        <w:rPr>
          <w:u w:val="single"/>
        </w:rPr>
      </w:pPr>
    </w:p>
    <w:tbl>
      <w:tblPr>
        <w:tblStyle w:val="Tabela-Siatka"/>
        <w:tblW w:w="0" w:type="auto"/>
        <w:tblLook w:val="04A0" w:firstRow="1" w:lastRow="0" w:firstColumn="1" w:lastColumn="0" w:noHBand="0" w:noVBand="1"/>
      </w:tblPr>
      <w:tblGrid>
        <w:gridCol w:w="4531"/>
        <w:gridCol w:w="4531"/>
      </w:tblGrid>
      <w:tr w:rsidR="006C7001" w14:paraId="7BB58CCF" w14:textId="77777777" w:rsidTr="006C7001">
        <w:tc>
          <w:tcPr>
            <w:tcW w:w="9062" w:type="dxa"/>
            <w:gridSpan w:val="2"/>
            <w:shd w:val="clear" w:color="auto" w:fill="D9D9D9" w:themeFill="background1" w:themeFillShade="D9"/>
          </w:tcPr>
          <w:p w14:paraId="5CE29686" w14:textId="2D009D78" w:rsidR="006C7001" w:rsidRPr="000D1F8A" w:rsidRDefault="006C7001" w:rsidP="00485C3E">
            <w:pPr>
              <w:jc w:val="both"/>
              <w:rPr>
                <w:b/>
                <w:bCs/>
                <w:u w:val="single"/>
              </w:rPr>
            </w:pPr>
            <w:r w:rsidRPr="000D1F8A">
              <w:rPr>
                <w:b/>
                <w:bCs/>
                <w:u w:val="single"/>
              </w:rPr>
              <w:t xml:space="preserve">Dane kontaktowe </w:t>
            </w:r>
            <w:bookmarkStart w:id="0" w:name="_GoBack"/>
            <w:bookmarkEnd w:id="0"/>
          </w:p>
        </w:tc>
      </w:tr>
      <w:tr w:rsidR="006C7001" w14:paraId="2A7D784D" w14:textId="77777777" w:rsidTr="006C7001">
        <w:tc>
          <w:tcPr>
            <w:tcW w:w="4531" w:type="dxa"/>
          </w:tcPr>
          <w:p w14:paraId="22B958A0" w14:textId="285C5E1C" w:rsidR="006C7001" w:rsidRPr="006C7001" w:rsidRDefault="006C7001" w:rsidP="00485C3E">
            <w:pPr>
              <w:jc w:val="both"/>
            </w:pPr>
            <w:r w:rsidRPr="006C7001">
              <w:t>Imię i nazwisko osoby zgłaszającej pomysł</w:t>
            </w:r>
          </w:p>
        </w:tc>
        <w:tc>
          <w:tcPr>
            <w:tcW w:w="4531" w:type="dxa"/>
          </w:tcPr>
          <w:p w14:paraId="3B89A4A1" w14:textId="77777777" w:rsidR="006C7001" w:rsidRDefault="006C7001" w:rsidP="00485C3E">
            <w:pPr>
              <w:jc w:val="both"/>
              <w:rPr>
                <w:u w:val="single"/>
              </w:rPr>
            </w:pPr>
          </w:p>
        </w:tc>
      </w:tr>
      <w:tr w:rsidR="006C7001" w14:paraId="376A87A1" w14:textId="77777777" w:rsidTr="006C7001">
        <w:tc>
          <w:tcPr>
            <w:tcW w:w="4531" w:type="dxa"/>
          </w:tcPr>
          <w:p w14:paraId="2A7CE436" w14:textId="00EDD7E1" w:rsidR="006C7001" w:rsidRPr="006C7001" w:rsidRDefault="006C7001" w:rsidP="00485C3E">
            <w:pPr>
              <w:jc w:val="both"/>
            </w:pPr>
            <w:r w:rsidRPr="006C7001">
              <w:t xml:space="preserve">Nazwa jednostki </w:t>
            </w:r>
            <w:r>
              <w:t xml:space="preserve">organizacyjnej </w:t>
            </w:r>
            <w:r w:rsidRPr="006C7001">
              <w:t xml:space="preserve"> </w:t>
            </w:r>
          </w:p>
        </w:tc>
        <w:tc>
          <w:tcPr>
            <w:tcW w:w="4531" w:type="dxa"/>
          </w:tcPr>
          <w:p w14:paraId="144BB4FA" w14:textId="77777777" w:rsidR="006C7001" w:rsidRDefault="006C7001" w:rsidP="00485C3E">
            <w:pPr>
              <w:jc w:val="both"/>
              <w:rPr>
                <w:u w:val="single"/>
              </w:rPr>
            </w:pPr>
          </w:p>
        </w:tc>
      </w:tr>
      <w:tr w:rsidR="000D1F8A" w14:paraId="4459389E" w14:textId="77777777" w:rsidTr="006C7001">
        <w:tc>
          <w:tcPr>
            <w:tcW w:w="4531" w:type="dxa"/>
          </w:tcPr>
          <w:p w14:paraId="76A9F7B1" w14:textId="0BE590D3" w:rsidR="000D1F8A" w:rsidRDefault="000D1F8A" w:rsidP="00485C3E">
            <w:pPr>
              <w:jc w:val="both"/>
            </w:pPr>
            <w:r>
              <w:t xml:space="preserve">Wydział </w:t>
            </w:r>
          </w:p>
        </w:tc>
        <w:tc>
          <w:tcPr>
            <w:tcW w:w="4531" w:type="dxa"/>
          </w:tcPr>
          <w:p w14:paraId="71903549" w14:textId="77777777" w:rsidR="000D1F8A" w:rsidRDefault="000D1F8A" w:rsidP="00485C3E">
            <w:pPr>
              <w:jc w:val="both"/>
              <w:rPr>
                <w:u w:val="single"/>
              </w:rPr>
            </w:pPr>
          </w:p>
        </w:tc>
      </w:tr>
      <w:tr w:rsidR="006C7001" w14:paraId="5D898109" w14:textId="77777777" w:rsidTr="006C7001">
        <w:tc>
          <w:tcPr>
            <w:tcW w:w="4531" w:type="dxa"/>
          </w:tcPr>
          <w:p w14:paraId="0CE1F6CB" w14:textId="4A40666D" w:rsidR="006C7001" w:rsidRPr="006C7001" w:rsidRDefault="006C7001" w:rsidP="00485C3E">
            <w:pPr>
              <w:jc w:val="both"/>
            </w:pPr>
            <w:r>
              <w:t xml:space="preserve">Kierownik jednostki organizacyjnej </w:t>
            </w:r>
          </w:p>
        </w:tc>
        <w:tc>
          <w:tcPr>
            <w:tcW w:w="4531" w:type="dxa"/>
          </w:tcPr>
          <w:p w14:paraId="53C59247" w14:textId="77777777" w:rsidR="006C7001" w:rsidRDefault="006C7001" w:rsidP="00485C3E">
            <w:pPr>
              <w:jc w:val="both"/>
              <w:rPr>
                <w:u w:val="single"/>
              </w:rPr>
            </w:pPr>
          </w:p>
        </w:tc>
      </w:tr>
      <w:tr w:rsidR="006C7001" w14:paraId="5C1DDFFF" w14:textId="77777777" w:rsidTr="006C7001">
        <w:tc>
          <w:tcPr>
            <w:tcW w:w="4531" w:type="dxa"/>
          </w:tcPr>
          <w:p w14:paraId="7F282EE7" w14:textId="7F5A7623" w:rsidR="006C7001" w:rsidRPr="006C7001" w:rsidRDefault="006C7001" w:rsidP="00485C3E">
            <w:pPr>
              <w:jc w:val="both"/>
            </w:pPr>
            <w:r>
              <w:t xml:space="preserve">Dane kontaktowe: e-mail, nr telefonu </w:t>
            </w:r>
          </w:p>
        </w:tc>
        <w:tc>
          <w:tcPr>
            <w:tcW w:w="4531" w:type="dxa"/>
          </w:tcPr>
          <w:p w14:paraId="439C3EB1" w14:textId="77777777" w:rsidR="006C7001" w:rsidRDefault="006C7001" w:rsidP="00485C3E">
            <w:pPr>
              <w:jc w:val="both"/>
              <w:rPr>
                <w:u w:val="single"/>
              </w:rPr>
            </w:pPr>
          </w:p>
        </w:tc>
      </w:tr>
      <w:tr w:rsidR="006C7001" w14:paraId="4FC929AD" w14:textId="77777777" w:rsidTr="006C7001">
        <w:tc>
          <w:tcPr>
            <w:tcW w:w="9062" w:type="dxa"/>
            <w:gridSpan w:val="2"/>
            <w:shd w:val="clear" w:color="auto" w:fill="D9D9D9" w:themeFill="background1" w:themeFillShade="D9"/>
          </w:tcPr>
          <w:p w14:paraId="30B8587F" w14:textId="0F0B30EC" w:rsidR="00690B22" w:rsidRDefault="006C7001" w:rsidP="00485C3E">
            <w:pPr>
              <w:jc w:val="both"/>
              <w:rPr>
                <w:i/>
                <w:iCs/>
              </w:rPr>
            </w:pPr>
            <w:r w:rsidRPr="000D1F8A">
              <w:rPr>
                <w:b/>
                <w:bCs/>
                <w:u w:val="single"/>
              </w:rPr>
              <w:t>Zakres planowanych aktywności</w:t>
            </w:r>
            <w:r w:rsidR="007F1BF4">
              <w:rPr>
                <w:b/>
                <w:bCs/>
                <w:u w:val="single"/>
              </w:rPr>
              <w:t>:</w:t>
            </w:r>
          </w:p>
          <w:p w14:paraId="5284E81B" w14:textId="5B143168" w:rsidR="006C7001" w:rsidRPr="000D1F8A" w:rsidRDefault="003E5952" w:rsidP="00485C3E">
            <w:pPr>
              <w:jc w:val="both"/>
              <w:rPr>
                <w:b/>
                <w:bCs/>
                <w:u w:val="single"/>
              </w:rPr>
            </w:pPr>
            <w:r w:rsidRPr="003E5952">
              <w:rPr>
                <w:i/>
                <w:iCs/>
              </w:rPr>
              <w:t>w przypadku większej liczby aktywności należy powielić liczbę wierszy dla każdej aktywności przygotować odrębny wstępny opis zadania</w:t>
            </w:r>
            <w:r>
              <w:rPr>
                <w:b/>
                <w:bCs/>
                <w:u w:val="single"/>
              </w:rPr>
              <w:t xml:space="preserve"> </w:t>
            </w:r>
          </w:p>
        </w:tc>
      </w:tr>
      <w:tr w:rsidR="006C7001" w14:paraId="31DF7E71" w14:textId="77777777" w:rsidTr="007F1BF4">
        <w:trPr>
          <w:trHeight w:val="268"/>
        </w:trPr>
        <w:tc>
          <w:tcPr>
            <w:tcW w:w="4531" w:type="dxa"/>
          </w:tcPr>
          <w:p w14:paraId="7350BD4B" w14:textId="5AAD6A8C" w:rsidR="006C7001" w:rsidRPr="006C7001" w:rsidRDefault="007F1BF4" w:rsidP="00810924">
            <w:r>
              <w:t>Grupa docelowa*</w:t>
            </w:r>
          </w:p>
        </w:tc>
        <w:tc>
          <w:tcPr>
            <w:tcW w:w="4531" w:type="dxa"/>
          </w:tcPr>
          <w:p w14:paraId="7B7AD237" w14:textId="3C0D0609" w:rsidR="006C7001" w:rsidRPr="007F1BF4" w:rsidRDefault="007F1BF4" w:rsidP="00485C3E">
            <w:pPr>
              <w:jc w:val="both"/>
            </w:pPr>
            <w:r>
              <w:t>s</w:t>
            </w:r>
            <w:r w:rsidRPr="007F1BF4">
              <w:t>tudenci/kadra/inne:</w:t>
            </w:r>
          </w:p>
        </w:tc>
      </w:tr>
      <w:tr w:rsidR="00810924" w14:paraId="2E116A5A" w14:textId="77777777" w:rsidTr="007F1BF4">
        <w:trPr>
          <w:trHeight w:val="268"/>
        </w:trPr>
        <w:tc>
          <w:tcPr>
            <w:tcW w:w="4531" w:type="dxa"/>
          </w:tcPr>
          <w:p w14:paraId="4E63F9E8" w14:textId="5CF5FE3F" w:rsidR="00810924" w:rsidRDefault="00810924" w:rsidP="00810924">
            <w:proofErr w:type="spellStart"/>
            <w:r>
              <w:t>Reskilling</w:t>
            </w:r>
            <w:proofErr w:type="spellEnd"/>
            <w:r>
              <w:t xml:space="preserve"> czy </w:t>
            </w:r>
            <w:proofErr w:type="spellStart"/>
            <w:r>
              <w:t>skill</w:t>
            </w:r>
            <w:proofErr w:type="spellEnd"/>
            <w:r>
              <w:t xml:space="preserve"> </w:t>
            </w:r>
            <w:proofErr w:type="spellStart"/>
            <w:r>
              <w:t>gaps</w:t>
            </w:r>
            <w:proofErr w:type="spellEnd"/>
            <w:r>
              <w:t>?</w:t>
            </w:r>
            <w:r w:rsidR="003739E2">
              <w:t xml:space="preserve"> (patrz pkt 1)</w:t>
            </w:r>
          </w:p>
        </w:tc>
        <w:tc>
          <w:tcPr>
            <w:tcW w:w="4531" w:type="dxa"/>
          </w:tcPr>
          <w:p w14:paraId="6C770BED" w14:textId="77777777" w:rsidR="00810924" w:rsidRDefault="00810924" w:rsidP="00485C3E">
            <w:pPr>
              <w:jc w:val="both"/>
            </w:pPr>
          </w:p>
        </w:tc>
      </w:tr>
      <w:tr w:rsidR="007F1BF4" w14:paraId="2AFDE8C9" w14:textId="77777777" w:rsidTr="007F1BF4">
        <w:trPr>
          <w:trHeight w:val="274"/>
        </w:trPr>
        <w:tc>
          <w:tcPr>
            <w:tcW w:w="4531" w:type="dxa"/>
          </w:tcPr>
          <w:p w14:paraId="6BC279D8" w14:textId="6DF5EBC8" w:rsidR="007F1BF4" w:rsidRDefault="007F1BF4" w:rsidP="00810924">
            <w:r>
              <w:t xml:space="preserve">Nazwa zadania, propozycja tytułu </w:t>
            </w:r>
          </w:p>
        </w:tc>
        <w:tc>
          <w:tcPr>
            <w:tcW w:w="4531" w:type="dxa"/>
          </w:tcPr>
          <w:p w14:paraId="1EC948E3" w14:textId="77777777" w:rsidR="007F1BF4" w:rsidRDefault="007F1BF4" w:rsidP="007F1BF4">
            <w:pPr>
              <w:jc w:val="both"/>
              <w:rPr>
                <w:u w:val="single"/>
              </w:rPr>
            </w:pPr>
          </w:p>
        </w:tc>
      </w:tr>
      <w:tr w:rsidR="007F1BF4" w14:paraId="26324C0D" w14:textId="77777777" w:rsidTr="006C7001">
        <w:tc>
          <w:tcPr>
            <w:tcW w:w="4531" w:type="dxa"/>
          </w:tcPr>
          <w:p w14:paraId="660295A2" w14:textId="1F12B83C" w:rsidR="007F1BF4" w:rsidRPr="006C7001" w:rsidRDefault="007F1BF4" w:rsidP="00810924">
            <w:r>
              <w:t xml:space="preserve">Ogólny opis planowanego zadania, zbliżony program, rodzaj aktywności, kto będzie realizował aktywności własna kadry / usługi zlecone  </w:t>
            </w:r>
          </w:p>
        </w:tc>
        <w:tc>
          <w:tcPr>
            <w:tcW w:w="4531" w:type="dxa"/>
          </w:tcPr>
          <w:p w14:paraId="0C3346DD" w14:textId="77777777" w:rsidR="007F1BF4" w:rsidRDefault="007F1BF4" w:rsidP="007F1BF4">
            <w:pPr>
              <w:jc w:val="both"/>
              <w:rPr>
                <w:u w:val="single"/>
              </w:rPr>
            </w:pPr>
          </w:p>
        </w:tc>
      </w:tr>
      <w:tr w:rsidR="007F1BF4" w14:paraId="259533BD" w14:textId="77777777" w:rsidTr="006C7001">
        <w:tc>
          <w:tcPr>
            <w:tcW w:w="4531" w:type="dxa"/>
          </w:tcPr>
          <w:p w14:paraId="729C584D" w14:textId="1B8FA555" w:rsidR="007F1BF4" w:rsidRPr="006C7001" w:rsidRDefault="007F1BF4" w:rsidP="00810924">
            <w:r>
              <w:t>Jeżeli studenci podać kierunek studiów objęty wsparciem i rocznik</w:t>
            </w:r>
          </w:p>
        </w:tc>
        <w:tc>
          <w:tcPr>
            <w:tcW w:w="4531" w:type="dxa"/>
          </w:tcPr>
          <w:p w14:paraId="72F46A0C" w14:textId="77777777" w:rsidR="007F1BF4" w:rsidRDefault="007F1BF4" w:rsidP="007F1BF4">
            <w:pPr>
              <w:jc w:val="both"/>
              <w:rPr>
                <w:u w:val="single"/>
              </w:rPr>
            </w:pPr>
          </w:p>
        </w:tc>
      </w:tr>
      <w:tr w:rsidR="007F1BF4" w14:paraId="7FCFF0E7" w14:textId="77777777" w:rsidTr="003E5952">
        <w:trPr>
          <w:trHeight w:val="95"/>
        </w:trPr>
        <w:tc>
          <w:tcPr>
            <w:tcW w:w="4531" w:type="dxa"/>
          </w:tcPr>
          <w:p w14:paraId="6858FCB2" w14:textId="29FCF9C3" w:rsidR="007F1BF4" w:rsidRDefault="007F1BF4" w:rsidP="00810924">
            <w:r>
              <w:t xml:space="preserve">Liczba osób objętych wsparciem </w:t>
            </w:r>
            <w:r w:rsidR="00810924">
              <w:t>i metoda szacowania (</w:t>
            </w:r>
            <w:r w:rsidR="00810924" w:rsidRPr="00810924">
              <w:t>np. badanie na próbie, przybliżone wartości</w:t>
            </w:r>
            <w:r w:rsidR="00810924">
              <w:t xml:space="preserve"> itp.)</w:t>
            </w:r>
          </w:p>
        </w:tc>
        <w:tc>
          <w:tcPr>
            <w:tcW w:w="4531" w:type="dxa"/>
          </w:tcPr>
          <w:p w14:paraId="38E3375E" w14:textId="77777777" w:rsidR="007F1BF4" w:rsidRDefault="007F1BF4" w:rsidP="007F1BF4">
            <w:pPr>
              <w:jc w:val="both"/>
              <w:rPr>
                <w:u w:val="single"/>
              </w:rPr>
            </w:pPr>
          </w:p>
        </w:tc>
      </w:tr>
      <w:tr w:rsidR="007F1BF4" w14:paraId="594BB477" w14:textId="77777777" w:rsidTr="003E5952">
        <w:trPr>
          <w:trHeight w:val="95"/>
        </w:trPr>
        <w:tc>
          <w:tcPr>
            <w:tcW w:w="4531" w:type="dxa"/>
          </w:tcPr>
          <w:p w14:paraId="29970C3E" w14:textId="53121E0B" w:rsidR="007F1BF4" w:rsidRDefault="007F1BF4" w:rsidP="00810924">
            <w:r>
              <w:t xml:space="preserve">Ogólny opis efektów kształcenia, opis nabytych kwalifikacji, zastosowanie nabytych kompetencji na rynku pracy </w:t>
            </w:r>
            <w:r w:rsidR="00810924">
              <w:t>oraz podstawa diagnozy (patrz pkt 4)</w:t>
            </w:r>
          </w:p>
        </w:tc>
        <w:tc>
          <w:tcPr>
            <w:tcW w:w="4531" w:type="dxa"/>
          </w:tcPr>
          <w:p w14:paraId="22BD755A" w14:textId="77777777" w:rsidR="007F1BF4" w:rsidRDefault="007F1BF4" w:rsidP="007F1BF4">
            <w:pPr>
              <w:jc w:val="both"/>
              <w:rPr>
                <w:u w:val="single"/>
              </w:rPr>
            </w:pPr>
          </w:p>
        </w:tc>
      </w:tr>
      <w:tr w:rsidR="007F1BF4" w14:paraId="52E495D0" w14:textId="77777777" w:rsidTr="003E5952">
        <w:trPr>
          <w:trHeight w:val="95"/>
        </w:trPr>
        <w:tc>
          <w:tcPr>
            <w:tcW w:w="4531" w:type="dxa"/>
          </w:tcPr>
          <w:p w14:paraId="7ECDFF2F" w14:textId="62A445AE" w:rsidR="007F1BF4" w:rsidRDefault="007F1BF4" w:rsidP="00810924">
            <w:r>
              <w:t>Ogólny wykaz niezbędnych materiałów dydaktycznych, materiałów zużywalnych</w:t>
            </w:r>
            <w:r w:rsidR="00810924">
              <w:t>, sprzętu (patrz pkt</w:t>
            </w:r>
            <w:r w:rsidR="003739E2">
              <w:t xml:space="preserve"> </w:t>
            </w:r>
            <w:r w:rsidR="00810924">
              <w:t>7)</w:t>
            </w:r>
          </w:p>
        </w:tc>
        <w:tc>
          <w:tcPr>
            <w:tcW w:w="4531" w:type="dxa"/>
          </w:tcPr>
          <w:p w14:paraId="3FC3BADD" w14:textId="77777777" w:rsidR="007F1BF4" w:rsidRDefault="007F1BF4" w:rsidP="007F1BF4">
            <w:pPr>
              <w:jc w:val="both"/>
              <w:rPr>
                <w:u w:val="single"/>
              </w:rPr>
            </w:pPr>
          </w:p>
        </w:tc>
      </w:tr>
    </w:tbl>
    <w:p w14:paraId="0CDC0161" w14:textId="77777777" w:rsidR="007F1BF4" w:rsidRDefault="007F1BF4" w:rsidP="005E341D">
      <w:pPr>
        <w:jc w:val="both"/>
        <w:rPr>
          <w:iCs/>
        </w:rPr>
      </w:pPr>
    </w:p>
    <w:p w14:paraId="4F339615" w14:textId="4743BDFA" w:rsidR="007F1BF4" w:rsidRPr="007F1BF4" w:rsidRDefault="007F1BF4" w:rsidP="005E341D">
      <w:pPr>
        <w:jc w:val="both"/>
        <w:rPr>
          <w:iCs/>
        </w:rPr>
      </w:pPr>
      <w:r w:rsidRPr="007F1BF4">
        <w:rPr>
          <w:iCs/>
        </w:rPr>
        <w:t>*</w:t>
      </w:r>
      <w:r>
        <w:rPr>
          <w:iCs/>
        </w:rPr>
        <w:t>zaznaczyć prawidłowe, w przypadku wyboru inne podać nazwę grupy docelowej</w:t>
      </w:r>
    </w:p>
    <w:p w14:paraId="12F03F0B" w14:textId="49DD708C" w:rsidR="005E341D" w:rsidRPr="005E341D" w:rsidRDefault="005E341D" w:rsidP="005E341D">
      <w:pPr>
        <w:jc w:val="both"/>
        <w:rPr>
          <w:i/>
          <w:iCs/>
        </w:rPr>
      </w:pPr>
      <w:r w:rsidRPr="005E341D">
        <w:rPr>
          <w:i/>
          <w:iCs/>
        </w:rPr>
        <w:t>Do formularza można dołączyć</w:t>
      </w:r>
      <w:r>
        <w:rPr>
          <w:i/>
          <w:iCs/>
        </w:rPr>
        <w:t xml:space="preserve">: </w:t>
      </w:r>
      <w:r w:rsidRPr="005E341D">
        <w:rPr>
          <w:i/>
          <w:iCs/>
        </w:rPr>
        <w:t xml:space="preserve"> oferty wstępn</w:t>
      </w:r>
      <w:r>
        <w:rPr>
          <w:i/>
          <w:iCs/>
        </w:rPr>
        <w:t xml:space="preserve">e, </w:t>
      </w:r>
      <w:r w:rsidRPr="005E341D">
        <w:rPr>
          <w:i/>
          <w:iCs/>
        </w:rPr>
        <w:t>programy</w:t>
      </w:r>
      <w:r>
        <w:rPr>
          <w:i/>
          <w:iCs/>
        </w:rPr>
        <w:t xml:space="preserve">, </w:t>
      </w:r>
      <w:r w:rsidRPr="005E341D">
        <w:rPr>
          <w:i/>
          <w:iCs/>
        </w:rPr>
        <w:t xml:space="preserve"> opisy</w:t>
      </w:r>
      <w:r>
        <w:rPr>
          <w:i/>
          <w:iCs/>
        </w:rPr>
        <w:t xml:space="preserve">, </w:t>
      </w:r>
      <w:r w:rsidRPr="005E341D">
        <w:rPr>
          <w:i/>
          <w:iCs/>
        </w:rPr>
        <w:t xml:space="preserve"> wszelkie materiały, które pozwolą określić potencjał zadania. </w:t>
      </w:r>
      <w:r>
        <w:rPr>
          <w:i/>
          <w:iCs/>
        </w:rPr>
        <w:t xml:space="preserve">W przypadku modyfikacji formularza należy oznaczyć kolejny numer wersji.  </w:t>
      </w:r>
    </w:p>
    <w:p w14:paraId="50816AAD" w14:textId="77777777" w:rsidR="005E341D" w:rsidRDefault="005E341D">
      <w:pPr>
        <w:rPr>
          <w:u w:val="single"/>
        </w:rPr>
      </w:pPr>
    </w:p>
    <w:p w14:paraId="13DDB2D1" w14:textId="77777777" w:rsidR="005E341D" w:rsidRDefault="005E341D">
      <w:pPr>
        <w:rPr>
          <w:u w:val="single"/>
        </w:rPr>
      </w:pPr>
    </w:p>
    <w:p w14:paraId="0B658B18" w14:textId="5CFAA40E" w:rsidR="00BE5BE7" w:rsidRPr="005E341D" w:rsidRDefault="005E341D">
      <w:r w:rsidRPr="005E341D">
        <w:t>Data zgłoszenia</w:t>
      </w:r>
      <w:r>
        <w:t xml:space="preserve">,  …………………………….. </w:t>
      </w:r>
      <w:r w:rsidRPr="005E341D">
        <w:t xml:space="preserve"> </w:t>
      </w:r>
    </w:p>
    <w:p w14:paraId="5F1009F3" w14:textId="77777777" w:rsidR="00BE5BE7" w:rsidRDefault="00BE5BE7" w:rsidP="00485C3E">
      <w:pPr>
        <w:spacing w:after="0" w:line="240" w:lineRule="auto"/>
        <w:jc w:val="both"/>
        <w:rPr>
          <w:u w:val="single"/>
        </w:rPr>
      </w:pPr>
    </w:p>
    <w:sectPr w:rsidR="00BE5BE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C50D" w14:textId="77777777" w:rsidR="002C589F" w:rsidRDefault="002C589F" w:rsidP="002C589F">
      <w:pPr>
        <w:spacing w:after="0" w:line="240" w:lineRule="auto"/>
      </w:pPr>
      <w:r>
        <w:separator/>
      </w:r>
    </w:p>
  </w:endnote>
  <w:endnote w:type="continuationSeparator" w:id="0">
    <w:p w14:paraId="1FEFA477" w14:textId="77777777" w:rsidR="002C589F" w:rsidRDefault="002C589F" w:rsidP="002C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6937E" w14:textId="77777777" w:rsidR="002C589F" w:rsidRDefault="002C589F" w:rsidP="002C589F">
      <w:pPr>
        <w:spacing w:after="0" w:line="240" w:lineRule="auto"/>
      </w:pPr>
      <w:r>
        <w:separator/>
      </w:r>
    </w:p>
  </w:footnote>
  <w:footnote w:type="continuationSeparator" w:id="0">
    <w:p w14:paraId="035668CB" w14:textId="77777777" w:rsidR="002C589F" w:rsidRDefault="002C589F" w:rsidP="002C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D05F" w14:textId="22895EDD" w:rsidR="002C589F" w:rsidRDefault="002D6D5F">
    <w:pPr>
      <w:pStyle w:val="Nagwek"/>
    </w:pPr>
    <w:r w:rsidRPr="002D6D5F">
      <w:rPr>
        <w:noProof/>
      </w:rPr>
      <w:drawing>
        <wp:inline distT="0" distB="0" distL="0" distR="0" wp14:anchorId="778AE30E" wp14:editId="6344526B">
          <wp:extent cx="5755391" cy="5270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691" cy="530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540"/>
    <w:multiLevelType w:val="hybridMultilevel"/>
    <w:tmpl w:val="1C182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82B08"/>
    <w:multiLevelType w:val="hybridMultilevel"/>
    <w:tmpl w:val="CBA88F04"/>
    <w:lvl w:ilvl="0" w:tplc="39E0C7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F36B0B"/>
    <w:multiLevelType w:val="hybridMultilevel"/>
    <w:tmpl w:val="9C749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460F3"/>
    <w:multiLevelType w:val="hybridMultilevel"/>
    <w:tmpl w:val="35021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543DFF"/>
    <w:multiLevelType w:val="hybridMultilevel"/>
    <w:tmpl w:val="2A2AF5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3C62A6"/>
    <w:multiLevelType w:val="hybridMultilevel"/>
    <w:tmpl w:val="9828A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8301DB"/>
    <w:multiLevelType w:val="hybridMultilevel"/>
    <w:tmpl w:val="CD0A8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03A090F"/>
    <w:multiLevelType w:val="hybridMultilevel"/>
    <w:tmpl w:val="45B20F8C"/>
    <w:lvl w:ilvl="0" w:tplc="BCB27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E22C85"/>
    <w:multiLevelType w:val="hybridMultilevel"/>
    <w:tmpl w:val="5A06EDBA"/>
    <w:lvl w:ilvl="0" w:tplc="BCB27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9E5230"/>
    <w:multiLevelType w:val="hybridMultilevel"/>
    <w:tmpl w:val="6E9E3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271D6A"/>
    <w:multiLevelType w:val="hybridMultilevel"/>
    <w:tmpl w:val="3678297E"/>
    <w:lvl w:ilvl="0" w:tplc="BCB279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A7329A"/>
    <w:multiLevelType w:val="hybridMultilevel"/>
    <w:tmpl w:val="AF0AC2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6"/>
  </w:num>
  <w:num w:numId="5">
    <w:abstractNumId w:val="2"/>
  </w:num>
  <w:num w:numId="6">
    <w:abstractNumId w:val="5"/>
  </w:num>
  <w:num w:numId="7">
    <w:abstractNumId w:val="0"/>
  </w:num>
  <w:num w:numId="8">
    <w:abstractNumId w:val="4"/>
  </w:num>
  <w:num w:numId="9">
    <w:abstractNumId w:val="10"/>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9F"/>
    <w:rsid w:val="00075776"/>
    <w:rsid w:val="000A783C"/>
    <w:rsid w:val="000D1F8A"/>
    <w:rsid w:val="002C589F"/>
    <w:rsid w:val="002D6D5F"/>
    <w:rsid w:val="003739E2"/>
    <w:rsid w:val="003B021E"/>
    <w:rsid w:val="003E5952"/>
    <w:rsid w:val="00464119"/>
    <w:rsid w:val="00485C3E"/>
    <w:rsid w:val="0054356C"/>
    <w:rsid w:val="00564EFF"/>
    <w:rsid w:val="005D21A7"/>
    <w:rsid w:val="005E341D"/>
    <w:rsid w:val="0063709D"/>
    <w:rsid w:val="00690B22"/>
    <w:rsid w:val="006C7001"/>
    <w:rsid w:val="006F3878"/>
    <w:rsid w:val="006F63BE"/>
    <w:rsid w:val="007F1BF4"/>
    <w:rsid w:val="00810924"/>
    <w:rsid w:val="00914197"/>
    <w:rsid w:val="00994B6D"/>
    <w:rsid w:val="009A168B"/>
    <w:rsid w:val="00BE5BE7"/>
    <w:rsid w:val="00C07085"/>
    <w:rsid w:val="00F36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141D"/>
  <w15:chartTrackingRefBased/>
  <w15:docId w15:val="{318EBAF1-D449-4017-9850-3723436B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58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89F"/>
  </w:style>
  <w:style w:type="paragraph" w:styleId="Stopka">
    <w:name w:val="footer"/>
    <w:basedOn w:val="Normalny"/>
    <w:link w:val="StopkaZnak"/>
    <w:uiPriority w:val="99"/>
    <w:unhideWhenUsed/>
    <w:rsid w:val="002C58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589F"/>
  </w:style>
  <w:style w:type="paragraph" w:customStyle="1" w:styleId="Default">
    <w:name w:val="Default"/>
    <w:rsid w:val="002C589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4641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4119"/>
    <w:rPr>
      <w:sz w:val="20"/>
      <w:szCs w:val="20"/>
    </w:rPr>
  </w:style>
  <w:style w:type="character" w:styleId="Odwoanieprzypisukocowego">
    <w:name w:val="endnote reference"/>
    <w:basedOn w:val="Domylnaczcionkaakapitu"/>
    <w:uiPriority w:val="99"/>
    <w:semiHidden/>
    <w:unhideWhenUsed/>
    <w:rsid w:val="00464119"/>
    <w:rPr>
      <w:vertAlign w:val="superscript"/>
    </w:rPr>
  </w:style>
  <w:style w:type="character" w:styleId="Hipercze">
    <w:name w:val="Hyperlink"/>
    <w:basedOn w:val="Domylnaczcionkaakapitu"/>
    <w:uiPriority w:val="99"/>
    <w:unhideWhenUsed/>
    <w:rsid w:val="005D21A7"/>
    <w:rPr>
      <w:color w:val="0563C1" w:themeColor="hyperlink"/>
      <w:u w:val="single"/>
    </w:rPr>
  </w:style>
  <w:style w:type="character" w:styleId="Nierozpoznanawzmianka">
    <w:name w:val="Unresolved Mention"/>
    <w:basedOn w:val="Domylnaczcionkaakapitu"/>
    <w:uiPriority w:val="99"/>
    <w:semiHidden/>
    <w:unhideWhenUsed/>
    <w:rsid w:val="005D21A7"/>
    <w:rPr>
      <w:color w:val="605E5C"/>
      <w:shd w:val="clear" w:color="auto" w:fill="E1DFDD"/>
    </w:rPr>
  </w:style>
  <w:style w:type="paragraph" w:styleId="Akapitzlist">
    <w:name w:val="List Paragraph"/>
    <w:basedOn w:val="Normalny"/>
    <w:uiPriority w:val="34"/>
    <w:qFormat/>
    <w:rsid w:val="00485C3E"/>
    <w:pPr>
      <w:ind w:left="720"/>
      <w:contextualSpacing/>
    </w:pPr>
  </w:style>
  <w:style w:type="table" w:styleId="Tabela-Siatka">
    <w:name w:val="Table Grid"/>
    <w:basedOn w:val="Standardowy"/>
    <w:uiPriority w:val="39"/>
    <w:rsid w:val="006C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e@pum.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C937-D610-4061-9F99-2B90AA4E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Piekarczyk Ewa</dc:creator>
  <cp:keywords/>
  <dc:description/>
  <cp:lastModifiedBy>Stasierowski Paweł</cp:lastModifiedBy>
  <cp:revision>3</cp:revision>
  <dcterms:created xsi:type="dcterms:W3CDTF">2023-09-13T07:53:00Z</dcterms:created>
  <dcterms:modified xsi:type="dcterms:W3CDTF">2023-09-13T08:01:00Z</dcterms:modified>
</cp:coreProperties>
</file>