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472885228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Komunikacja i współpraca z klientem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Wydział PUM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Kierunek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Kosmetologia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Specjalność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Poziom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 rok, 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Liczba przypisanych punktów ECTS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E-learning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Seminaria – 10h 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Sposoby weryfikacji i oceny efektów uczenia się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zaliczenie bez oceny 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Katedra Medycyny Społecznej.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 xml:space="preserve">ul. Żołnierska 48, pok. 303,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5"/>
        <w:gridCol w:w="1885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 w:val="false"/>
                <w:i w:val="false"/>
                <w:iCs w:val="false"/>
              </w:rPr>
            </w:pPr>
            <w:r>
              <w:rPr/>
              <w:t xml:space="preserve">Celem przedmiotu jest uzyskanie wiedzy i umiejętności z zakresu komunikacji społecznej i marketingowej w kontekście tworzenia i utrzymywania relacji z klientami. Szczególną uwagę poświęcono teoretycznym i praktycznym zasadom tworzenia kompleksowej strategii </w:t>
            </w:r>
            <w:r>
              <w:rPr>
                <w:i/>
                <w:iCs/>
              </w:rPr>
              <w:t>public relations</w:t>
            </w:r>
            <w:r>
              <w:rPr>
                <w:i w:val="false"/>
                <w:iCs w:val="false"/>
              </w:rPr>
              <w:t xml:space="preserve"> w przedsiębiorstwach.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Wymagania wstępne w zakresie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Wiedza z zakresu nauk społecznych - kompetencje bazowe na poziomie szkoły średniej.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Korzystanie z aktualnej wiedzy, organizowanie pracy własnej, twórcze wykorzystanie wiedzy pozyskanej w trakcie zajęć.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Identyfikowanie i przedstawianie własnych doświadczeń, praca w grupie.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1"/>
        <w:gridCol w:w="612"/>
        <w:gridCol w:w="611"/>
        <w:gridCol w:w="739"/>
        <w:gridCol w:w="485"/>
        <w:gridCol w:w="611"/>
        <w:gridCol w:w="615"/>
        <w:gridCol w:w="562"/>
        <w:gridCol w:w="6"/>
      </w:tblGrid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lp. efektu uczenia się 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SYMBOL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(odniesienie do)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40" w:beforeAutospacing="0" w:before="240" w:afterAutospacing="0" w:after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 xml:space="preserve">Rozpoznawać podstawy życia społecznego i jego uwarunkowania, czynniki socjogenne kształtujące osobowość społeczną </w:t>
            </w:r>
            <w:r>
              <w:rPr>
                <w:rFonts w:eastAsia="Times New Roman" w:cs="Times New Roman"/>
                <w:sz w:val="22"/>
                <w:szCs w:val="22"/>
                <w:lang w:val="pl-PL"/>
              </w:rPr>
              <w:t>w kontekście współpracy z klientem.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16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Systematycznie wzbogacać wiedzę zawodową i kształtuje umiejętności, dążąc do profesjonalizmu rzetelnie i dokładnie wykonuje powierzone obowiązki.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E-learning 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K_U66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E-learning: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Czym jest, a czym nie jest public relations? Podstawowe założenia i definicje pojęcia.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K_U66, K_K08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b w:val="false"/>
                <w:bCs w:val="false"/>
                <w:i/>
                <w:iCs/>
              </w:rPr>
              <w:t>Wizerunek, tożsamość i reputacja - najważniejsze cele public relations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Orientacja w przestrzeni komunikacyjnej – przygotowanie działań public relations.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Planowanie strategiczne i operacyjne działań PR-owych.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Autospacing="0" w:before="0" w:afterAutospacing="0" w:after="0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Media relations, czyli techniki dotarcia do klienta za pośrednictwem mediów.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/>
                <w:bCs/>
                <w:i w:val="false"/>
                <w:i w:val="false"/>
                <w:iCs w:val="false"/>
              </w:rPr>
            </w:pPr>
            <w:r>
              <w:rPr>
                <w:b/>
                <w:bCs/>
                <w:i w:val="false"/>
                <w:iCs w:val="false"/>
              </w:rPr>
              <w:t>Seminaria: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K_U66, K_K06, K_08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 xml:space="preserve">Wybrane aspekty komunikacji bezpośredniej - rola sygnałów niewerbalnych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Wybrane aspekty komunikacji bezpośredniej - rola sygnałów werbalnych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rFonts w:ascii="Times New Roman" w:hAnsi="Times New Roman" w:eastAsia="Times New Roman" w:cs="Times New Roman"/>
                <w:i/>
                <w:i/>
                <w:i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i/>
                <w:iCs/>
                <w:color w:themeColor="text1" w:val="000000"/>
                <w:sz w:val="24"/>
                <w:szCs w:val="24"/>
                <w:lang w:val="pl-PL"/>
              </w:rPr>
              <w:t>Umiejętność identyfikacji potrzeb klienta i wsłuchiwania się w jego zdanie - ćwiczenie na zasadach debaty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1. Tworzydło D.: </w:t>
            </w:r>
            <w:r>
              <w:rPr>
                <w:rFonts w:eastAsia="Calibri"/>
                <w:i/>
                <w:iCs/>
                <w:lang w:val="fr-FR" w:eastAsia="en-US"/>
              </w:rPr>
              <w:t>Public Relations. Praktyka komunikowania 3.0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Naukowe PWN, Warszawa 2023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Van Edwards V.: </w:t>
            </w:r>
            <w:r>
              <w:rPr>
                <w:rFonts w:eastAsia="Calibri"/>
                <w:i/>
                <w:iCs/>
                <w:lang w:eastAsia="en-US"/>
              </w:rPr>
              <w:t>Sekretny język komunikacji. Jak odczytywać i przekazywać sygnały werbalne i niewerbalne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MT Biznes, Warszawa 2023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Budzyński W.: </w:t>
            </w:r>
            <w:r>
              <w:rPr>
                <w:rFonts w:eastAsia="Calibri"/>
                <w:i/>
                <w:iCs/>
                <w:lang w:eastAsia="en-US"/>
              </w:rPr>
              <w:t>Public Realtions. Wizerunek. Reputacja. Tożsamość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Poltex, Warszawa 2018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Nakład pracy studenta  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Forma nakładu pracy studenta 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Punkty ECTS </w:t>
            </w:r>
          </w:p>
        </w:tc>
        <w:tc>
          <w:tcPr>
            <w:tcW w:w="543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 xml:space="preserve">Praca samodzielna studenta – </w:t>
            </w:r>
            <w:r>
              <w:rPr>
                <w:rFonts w:eastAsia="Times New Roman" w:cs="Times New Roman"/>
                <w:b w:val="false"/>
                <w:bCs w:val="false"/>
                <w:color w:themeColor="text1" w:val="000000"/>
                <w:sz w:val="24"/>
                <w:szCs w:val="24"/>
                <w:lang w:val="pl-PL"/>
              </w:rPr>
              <w:t>wykonanie zadań na podstawie udostępnionych przez wykładowcę na platformie e-learningowej materiałów dydaktycznych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lineRule="auto" w:line="240" w:beforeAutospacing="0" w:before="240" w:afterAutospacing="0" w:after="240"/>
              <w:contextualSpacing/>
              <w:jc w:val="left"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Terminowe przesłanie wykonanych zadań i pozytywna ocena pracy studenta wystawiana na podstawie przedstawionych na platformie e-learningowej wytycznych,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obecność na wszystkich zajęciach lub usprawiedliwienie oraz nadrobienie </w:t>
            </w:r>
            <w:r>
              <w:rPr/>
              <w:tab/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nieobecności (w sposób określony przez wykładowcę) </w:t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–</w:t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LibreOffice/7.6.4.1$Windows_X86_64 LibreOffice_project/e19e193f88cd6c0525a17fb7a176ed8e6a3e2aa1</Application>
  <AppVersion>15.0000</AppVersion>
  <Pages>4</Pages>
  <Words>739</Words>
  <Characters>4874</Characters>
  <CharactersWithSpaces>5459</CharactersWithSpaces>
  <Paragraphs>199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2025-02-19T17:08:01Z</dcterms:modified>
  <cp:revision>8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