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wmf" ContentType="image/x-wmf"/>
  <Override PartName="/word/embeddings/oleObject1.bin" ContentType="application/vnd.openxmlformats-officedocument.oleObjec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Override PartName="/customXml/item2.xml" ContentType="application/xml"/>
  <Override PartName="/customXml/itemProps2.xml" ContentType="application/vnd.openxmlformats-officedocument.customXmlProperties+xml"/>
  <Override PartName="/customXml/_rels/item1.xml.rels" ContentType="application/vnd.openxmlformats-package.relationships+xml"/>
  <Override PartName="/customXml/_rels/item2.xml.rels" ContentType="application/vnd.openxmlformats-package.relationships+xml"/>
  <Override PartName="/customXml/_rels/item3.xml.rels" ContentType="application/vnd.openxmlformats-package.relationships+xml"/>
  <Override PartName="/customXml/item3.xml" ContentType="application/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/>
      </w:pPr>
      <w:r>
        <w:rPr/>
        <w:drawing>
          <wp:anchor behindDoc="1" distT="0" distB="0" distL="0" distR="0" simplePos="0" locked="0" layoutInCell="1" allowOverlap="1" relativeHeight="2">
            <wp:simplePos x="0" y="0"/>
            <wp:positionH relativeFrom="column">
              <wp:posOffset>1428750</wp:posOffset>
            </wp:positionH>
            <wp:positionV relativeFrom="paragraph">
              <wp:posOffset>200025</wp:posOffset>
            </wp:positionV>
            <wp:extent cx="3395980" cy="234315"/>
            <wp:effectExtent l="0" t="0" r="0" b="0"/>
            <wp:wrapNone/>
            <wp:docPr id="1" name="Obraz 1" descr="kol p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kol pol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23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object>
          <v:shapetype id="_x0000_tole_rId3" coordsize="21600,21600" o:spt="ole_rId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type="_x0000_tole_rId3" style="width:49.5pt;height:63pt;mso-wrap-distance-right:0pt" filled="f" o:ole="">
            <v:imagedata r:id="rId4" o:title=""/>
          </v:shape>
          <o:OLEObject Type="Embed" ProgID="CorelDraw.Graphic.15" ShapeID="ole_rId3" DrawAspect="Content" ObjectID="_1887740863" r:id="rId3"/>
        </w:objec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SYLABUS ZAJĘĆ</w: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Informacje ogólne</w:t>
      </w:r>
    </w:p>
    <w:p>
      <w:pPr>
        <w:pStyle w:val="Normal"/>
        <w:spacing w:lineRule="auto" w:line="276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</w:r>
    </w:p>
    <w:tbl>
      <w:tblPr>
        <w:tblW w:w="9356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720"/>
        <w:gridCol w:w="4635"/>
      </w:tblGrid>
      <w:tr>
        <w:trPr>
          <w:trHeight w:val="397" w:hRule="atLeast"/>
        </w:trPr>
        <w:tc>
          <w:tcPr>
            <w:tcW w:w="93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Nazwa ZAJĘĆ: 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Komunikowanie w zespole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Rodzaj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Obieralny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Wydział PUM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Wydział Nauk o Zdrowiu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Kierunek studiów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Ratownictwo Medyczne z BMiSO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Specjalność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Poziom studiów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jednolite magisterskie □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I stopnia</w:t>
            </w:r>
            <w:r>
              <w:rPr>
                <w:rFonts w:eastAsia="Calibri"/>
                <w:b/>
                <w:bCs/>
                <w:i/>
                <w:iCs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X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II stopnia □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bCs/>
                <w:i/>
                <w:lang w:eastAsia="en-US"/>
              </w:rPr>
              <w:t>stacjonarne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Rok studiów /semestr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I rok, semestr letni 2024/2025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Liczba przypisanych punktów ECTS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2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Formy prowadzenia zajęć (liczba godzin)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Seminaria – 10h 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Sposoby weryfikacji i oceny efektów uczenia się 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zaliczenie na ocenę:</w:t>
            </w:r>
          </w:p>
          <w:p>
            <w:pPr>
              <w:pStyle w:val="Normal"/>
              <w:rPr>
                <w:rFonts w:eastAsia="Calibri"/>
                <w:bCs/>
                <w:i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/>
              <w:tab/>
            </w:r>
            <w:r>
              <w:rPr>
                <w:rFonts w:eastAsia="Calibri"/>
                <w:i/>
                <w:iCs/>
                <w:lang w:eastAsia="en-US"/>
              </w:rPr>
              <w:t>opisowe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 xml:space="preserve">        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testowe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X</w:t>
            </w:r>
            <w:r>
              <w:rPr/>
              <w:tab/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praktyczne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□</w:t>
            </w:r>
            <w:r>
              <w:rPr>
                <w:rFonts w:eastAsia="Calibri"/>
                <w:i/>
                <w:lang w:eastAsia="en-US"/>
              </w:rPr>
              <w:tab/>
              <w:t>ustne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numPr>
                <w:ilvl w:val="0"/>
                <w:numId w:val="5"/>
              </w:numPr>
              <w:ind w:hanging="360" w:left="347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 xml:space="preserve">zaliczenie bez oceny 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egzamin końcowy: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opisowy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testowy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praktyczny</w:t>
            </w:r>
          </w:p>
          <w:p>
            <w:pPr>
              <w:pStyle w:val="Normal"/>
              <w:numPr>
                <w:ilvl w:val="0"/>
                <w:numId w:val="4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ustny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Kierownik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Prof. dr hab. n. zdr. Beata Karakiewicz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Adiunkt dydaktyczny lub osoba odpowiedzialna za przedmiot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mgr Krzysztof Dąbrowski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Nazwa i dane kontaktowe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 xml:space="preserve">Katedra Medycyny Społecznej. 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Zakład Medycyny Społecznej i Zdrowia Publicznego; Pomorski Uniwersytet Medyczny w Szczecinie,</w:t>
            </w:r>
            <w:r>
              <w:rPr>
                <w:rFonts w:eastAsia="Calibri"/>
                <w:lang w:eastAsia="en-US"/>
              </w:rPr>
              <w:t xml:space="preserve"> </w:t>
            </w:r>
            <w:r>
              <w:rPr/>
              <w:br/>
            </w:r>
            <w:r>
              <w:rPr>
                <w:rFonts w:eastAsia="Calibri"/>
                <w:lang w:eastAsia="en-US"/>
              </w:rPr>
              <w:t xml:space="preserve">ul. Żołnierska 48, pok. 303, 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71-210 Szczecin. tel. +48 91 48 00 920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Strona internetowa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https://www.pum.edu.pl/studenci/informacje_z_jednostek/wnoz/katedra_medycyny_spolecznej/zaklad_medycyny_spolecznej_i_zdrowia_publicznego/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Język prowadzenia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tabs>
                <w:tab w:val="clear" w:pos="708"/>
                <w:tab w:val="left" w:pos="4073" w:leader="none"/>
              </w:tabs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i/>
                <w:lang w:eastAsia="en-US"/>
              </w:rPr>
              <w:t>polski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</w:r>
    </w:p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bCs/>
          <w:lang w:eastAsia="en-US"/>
        </w:rPr>
        <w:t xml:space="preserve">     </w:t>
      </w:r>
      <w:r>
        <w:rPr>
          <w:rFonts w:eastAsia="Calibri"/>
          <w:b/>
          <w:bCs/>
          <w:lang w:eastAsia="en-US"/>
        </w:rPr>
        <w:t>*zaznaczyć odpowiednio, zmieniając □ na X</w:t>
      </w:r>
    </w:p>
    <w:p>
      <w:pPr>
        <w:pStyle w:val="Normal"/>
        <w:spacing w:lineRule="auto" w:line="276" w:before="0" w:after="200"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Informacje szczegółowe</w:t>
      </w:r>
    </w:p>
    <w:tbl>
      <w:tblPr>
        <w:tblW w:w="955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95"/>
        <w:gridCol w:w="1885"/>
        <w:gridCol w:w="5272"/>
      </w:tblGrid>
      <w:tr>
        <w:trPr>
          <w:trHeight w:val="397" w:hRule="atLeast"/>
        </w:trPr>
        <w:tc>
          <w:tcPr>
            <w:tcW w:w="42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Cele zajęć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/>
              <w:t xml:space="preserve">Celem przedmiotu jest uzyskanie wiedzy i umiejętności z zakresu efektywnej współpracy i komunikacji w zespole poprzez techniki negocjacyjne, sposoby wyrażania konstruktywnej krytyki czy identyfikację barier komunikacyjnych. </w:t>
            </w:r>
          </w:p>
        </w:tc>
      </w:tr>
      <w:tr>
        <w:trPr>
          <w:trHeight w:val="397" w:hRule="atLeast"/>
        </w:trPr>
        <w:tc>
          <w:tcPr>
            <w:tcW w:w="23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highlight w:val="yellow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Wymagania wstępne w zakresie </w:t>
            </w:r>
          </w:p>
        </w:tc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Wiedzy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/>
              <w:t>Społeczne kompetencje bazowe na poziomie ucznia szkoły średniej.</w:t>
            </w:r>
          </w:p>
        </w:tc>
      </w:tr>
      <w:tr>
        <w:trPr>
          <w:trHeight w:val="397" w:hRule="atLeast"/>
        </w:trPr>
        <w:tc>
          <w:tcPr>
            <w:tcW w:w="239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Umiejętności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Twórcze wykorzystanie wiedzy pozyskanej w trakcie zajęć, kreatywne myślenie, wyciąganie wniosków.</w:t>
            </w:r>
          </w:p>
        </w:tc>
      </w:tr>
      <w:tr>
        <w:trPr>
          <w:trHeight w:val="397" w:hRule="atLeast"/>
        </w:trPr>
        <w:tc>
          <w:tcPr>
            <w:tcW w:w="239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Kompetencji społecznych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Identyfikowanie i przedstawianie własnych doświadczeń, praca w grupie.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tbl>
      <w:tblPr>
        <w:tblW w:w="1006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778"/>
        <w:gridCol w:w="2846"/>
        <w:gridCol w:w="472"/>
        <w:gridCol w:w="115"/>
        <w:gridCol w:w="611"/>
        <w:gridCol w:w="612"/>
        <w:gridCol w:w="611"/>
        <w:gridCol w:w="739"/>
        <w:gridCol w:w="485"/>
        <w:gridCol w:w="611"/>
        <w:gridCol w:w="615"/>
        <w:gridCol w:w="562"/>
        <w:gridCol w:w="6"/>
      </w:tblGrid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EFEKTY UCZENIA SIĘ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3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 xml:space="preserve">lp. efektu uczenia się 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Student, który zaliczył ZAJĘCIA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wie/umie/potrafi: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 xml:space="preserve">SYMBOL 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 xml:space="preserve">(odniesienie do) 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efektów uczenia się dla kierunku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Sposób weryfikacji efektów UCZENIA SIĘ*</w:t>
            </w:r>
          </w:p>
          <w:p>
            <w:pPr>
              <w:pStyle w:val="Normal"/>
              <w:spacing w:lineRule="auto" w:line="276"/>
              <w:jc w:val="center"/>
              <w:rPr>
                <w:b/>
                <w:strike/>
              </w:rPr>
            </w:pPr>
            <w:r>
              <w:rPr>
                <w:b/>
                <w:strike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spacing w:lineRule="auto" w:line="240" w:beforeAutospacing="0" w:before="240" w:afterAutospacing="0" w:after="0"/>
              <w:jc w:val="left"/>
              <w:rPr>
                <w:rFonts w:ascii="Times New Roman" w:hAnsi="Times New Roman" w:eastAsia="Times New Roman" w:cs="Times New Roman"/>
                <w:kern w:val="2"/>
                <w:sz w:val="22"/>
                <w:szCs w:val="22"/>
                <w:lang w:val="pl-PL"/>
              </w:rPr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Aktywnie słuchać, nawiązywać kontakty interpersonalne, skutecznie i empatycznie porozumiewać się z pacjentem.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K_K01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160"/>
              <w:ind w:left="0" w:right="0"/>
              <w:jc w:val="left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Organizować pracę własną i współpracę w zespole specjalistów, w tym z przedstawicielami innych zawodów medycznych, także w środowisku wielokulturowym i wielonarodowościowym.</w:t>
            </w:r>
          </w:p>
        </w:tc>
        <w:tc>
          <w:tcPr>
            <w:tcW w:w="257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K_K04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spacing w:lineRule="auto" w:line="276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Tabela efektów UCZENIA SIĘ</w:t>
            </w:r>
            <w:r>
              <w:rPr>
                <w:rFonts w:eastAsia="Calibri"/>
                <w:b/>
                <w:lang w:eastAsia="en-US"/>
              </w:rPr>
              <w:t xml:space="preserve"> w odniesieniu do formy zajęć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23" w:hRule="atLeast"/>
          <w:cantSplit w:val="true"/>
        </w:trPr>
        <w:tc>
          <w:tcPr>
            <w:tcW w:w="1778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vMerge w:val="restart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Efekty uczenia się</w:t>
            </w:r>
          </w:p>
        </w:tc>
        <w:tc>
          <w:tcPr>
            <w:tcW w:w="4852" w:type="dxa"/>
            <w:gridSpan w:val="9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Forma zajęć</w:t>
            </w:r>
          </w:p>
        </w:tc>
      </w:tr>
      <w:tr>
        <w:trPr>
          <w:trHeight w:val="1561" w:hRule="atLeast"/>
          <w:cantSplit w:val="true"/>
        </w:trPr>
        <w:tc>
          <w:tcPr>
            <w:tcW w:w="1778" w:type="dxa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3433" w:type="dxa"/>
            <w:gridSpan w:val="3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Wykład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b/>
              </w:rPr>
            </w:pPr>
            <w:r>
              <w:rPr>
                <w:b/>
              </w:rPr>
              <w:t>Seminarium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</w:t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 kliniczne</w:t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Symulacje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 xml:space="preserve">E-learning </w:t>
            </w:r>
          </w:p>
        </w:tc>
        <w:tc>
          <w:tcPr>
            <w:tcW w:w="61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PWS</w:t>
            </w:r>
          </w:p>
        </w:tc>
        <w:tc>
          <w:tcPr>
            <w:tcW w:w="568" w:type="dxa"/>
            <w:gridSpan w:val="2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</w:r>
          </w:p>
        </w:tc>
      </w:tr>
      <w:tr>
        <w:trPr>
          <w:trHeight w:val="300" w:hRule="atLeast"/>
          <w:cantSplit w:val="true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K_K01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5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62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  <w:cantSplit w:val="true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K_K04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5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62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TABELA TREŚCI PROGRAMOWYCH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Lp. treści programowej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Treści programowe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Liczba godzin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Odniesienie do efektów uczenia się do ZAJĘĆ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Semestr letni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 xml:space="preserve">E-learning: 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20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Identyfikacja barier komunikacyjnych - trening komunikacji w zespole.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K_K01, K_K04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109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b w:val="false"/>
                <w:bCs w:val="false"/>
                <w:i/>
                <w:iCs/>
              </w:rPr>
              <w:t>Skuteczna komunikacja w przestrzeni odmiennych poglądów.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b w:val="false"/>
                <w:bCs w:val="false"/>
                <w:i/>
                <w:iCs/>
              </w:rPr>
              <w:t>Struktura skutecznych negocjacji międzykulturowych.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 xml:space="preserve">Jak radzić sobie z konfliktem? Szukanie konsensusu w trudnych sytuacjach. 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5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b w:val="false"/>
                <w:bCs w:val="false"/>
                <w:i/>
                <w:iCs/>
              </w:rPr>
              <w:t xml:space="preserve">Rola komunikacji niewerbalnej na pracę w zespole. </w:t>
            </w:r>
          </w:p>
        </w:tc>
        <w:tc>
          <w:tcPr>
            <w:tcW w:w="1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Zalecana literatura: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podstawowa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val="fr-FR" w:eastAsia="en-US"/>
              </w:rPr>
            </w:pPr>
            <w:r>
              <w:rPr>
                <w:rFonts w:eastAsia="Calibri"/>
                <w:lang w:val="fr-FR" w:eastAsia="en-US"/>
              </w:rPr>
              <w:t xml:space="preserve">1. Sanchez R., Bullock D.: </w:t>
            </w:r>
            <w:r>
              <w:rPr>
                <w:rFonts w:eastAsia="Calibri"/>
                <w:i/>
                <w:iCs/>
                <w:lang w:val="fr-FR" w:eastAsia="en-US"/>
              </w:rPr>
              <w:t>Jak komunikować się efektywnie? Paszport do komunikacji globalnej</w:t>
            </w:r>
            <w:r>
              <w:rPr>
                <w:rFonts w:eastAsia="Calibri"/>
                <w:i w:val="false"/>
                <w:iCs w:val="false"/>
                <w:lang w:val="fr-FR" w:eastAsia="en-US"/>
              </w:rPr>
              <w:t>; wyd. Rebis, Poznań 2022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uzupełniająca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Kwaśniewska J. M.: </w:t>
            </w:r>
            <w:r>
              <w:rPr>
                <w:rFonts w:eastAsia="Calibri"/>
                <w:i/>
                <w:iCs/>
                <w:lang w:eastAsia="en-US"/>
              </w:rPr>
              <w:t>Droga do kreacji, czyli trening twórczości XXI wieku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Naukowe PWN, Warszawa 2023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 xml:space="preserve">Nakład pracy studenta  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Forma nakładu pracy studenta 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(udział w zajęciach, aktywność, przygotowanie sprawozdania, itp.)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Obciążenie studenta [h]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 ocenie (opinii) nauczyciela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Godziny kontaktowe z nauczycielem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E-learning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ćwiczeń/seminarium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Czytanie wskazanej literatury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prac pisemnych (zadań)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kolokwium/kartkówki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testu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Sumaryczne obciążenie pracy studenta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Punkty ECTS </w:t>
            </w:r>
          </w:p>
        </w:tc>
        <w:tc>
          <w:tcPr>
            <w:tcW w:w="5433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Uwagi</w:t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57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ZALICZENIA:</w:t>
            </w:r>
          </w:p>
          <w:p>
            <w:pPr>
              <w:pStyle w:val="Normal"/>
              <w:rPr>
                <w:rFonts w:ascii="Times New Roman" w:hAnsi="Times New Roman"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>Zaliczenie zadania zleconego przez wykładowcę ocenionego zgodnie z wytycznymi przedstawionymi na pierwszych zajęciach.</w:t>
            </w:r>
          </w:p>
          <w:p>
            <w:pPr>
              <w:pStyle w:val="Normal"/>
              <w:rPr>
                <w:rFonts w:ascii="Times New Roman" w:hAnsi="Times New Roman"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>Obecność i aktywne uczestniczenie w seminariach.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WARUNEK ZALICZENIA:</w:t>
            </w:r>
          </w:p>
          <w:p>
            <w:pPr>
              <w:pStyle w:val="ListParagraph"/>
              <w:numPr>
                <w:ilvl w:val="0"/>
                <w:numId w:val="3"/>
              </w:numPr>
              <w:spacing w:lineRule="auto" w:line="240" w:beforeAutospacing="0" w:before="240" w:afterAutospacing="0" w:after="240"/>
              <w:contextualSpacing/>
              <w:jc w:val="left"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Wykonanie i prezentacja zadania, odnoszącego się do treści zajęć zgodnie z wytycznymi wykładowcy, przedstawionymi na pierwszych zajęciach,</w:t>
            </w:r>
          </w:p>
          <w:p>
            <w:pPr>
              <w:pStyle w:val="ListParagraph"/>
              <w:numPr>
                <w:ilvl w:val="0"/>
                <w:numId w:val="2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>aktywne uczestnictwo w pracach grupowych i indywidualnych podczas zajęć,</w:t>
            </w:r>
          </w:p>
          <w:p>
            <w:pPr>
              <w:pStyle w:val="ListParagraph"/>
              <w:numPr>
                <w:ilvl w:val="0"/>
                <w:numId w:val="1"/>
              </w:numPr>
              <w:spacing w:beforeAutospacing="0" w:before="240" w:afterAutospacing="0" w:after="240"/>
              <w:contextualSpacing/>
              <w:rPr>
                <w:rFonts w:ascii="Times New Roman" w:hAnsi="Times New Roman" w:eastAsia="Times New Roman" w:cs="Times New Roman"/>
                <w:color w:themeColor="text1" w:val="000000"/>
                <w:sz w:val="24"/>
                <w:szCs w:val="24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 xml:space="preserve">obecność na wszystkich zajęciach lub usprawiedliwienie oraz nadrobienie </w:t>
            </w:r>
            <w:r>
              <w:rPr/>
              <w:tab/>
            </w: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 xml:space="preserve">nieobecności (w sposób określony przez wykładowcę) </w:t>
            </w:r>
            <w:r>
              <w:rPr>
                <w:rFonts w:eastAsia="Times New Roman" w:cs="Times New Roman"/>
                <w:b/>
                <w:bCs/>
                <w:color w:themeColor="text1" w:val="000000"/>
                <w:sz w:val="24"/>
                <w:szCs w:val="24"/>
                <w:lang w:val="pl-PL"/>
              </w:rPr>
              <w:t>–</w:t>
            </w:r>
            <w:r>
              <w:rPr>
                <w:rFonts w:eastAsia="Times New Roman" w:cs="Times New Roman"/>
                <w:color w:themeColor="text1" w:val="000000"/>
                <w:sz w:val="24"/>
                <w:szCs w:val="24"/>
                <w:lang w:val="pl-PL"/>
              </w:rPr>
              <w:t xml:space="preserve"> zgodnie z Regulaminem studiów PUM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</w:tbl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*Przykładowe sposoby weryfikacji efektów kształcenia: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 – egzamin pisemny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EU - egzamin ustny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ET – egzamin testowy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EPR – egzamin praktyczny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K – kolokwium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 – referat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 – sprawdzenie umiejętności praktycznych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RZĆ – raport z ćwiczeń z dyskusją wyników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O - ocena aktywności i postawy studenta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SL - sprawozdanie laboratoryjne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SP – studium przypadku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PS - ocena umiejętności pracy samodzielnej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W – kartkówka przed rozpoczęciem zajęć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PM – prezentacja multimedialna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i inne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sectPr>
      <w:footerReference w:type="default" r:id="rId5"/>
      <w:type w:val="nextPage"/>
      <w:pgSz w:w="11906" w:h="16838"/>
      <w:pgMar w:left="851" w:right="991" w:gutter="0" w:header="0" w:top="567" w:footer="82" w:bottom="567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Times New Roman">
    <w:charset w:val="ee"/>
    <w:family w:val="roman"/>
    <w:pitch w:val="variable"/>
  </w:font>
  <w:font w:name="Tahoma"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roman"/>
    <w:pitch w:val="variable"/>
  </w:font>
  <w:font w:name="Aptos">
    <w:charset w:val="01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Times New Roman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>
        <w:sz w:val="16"/>
      </w:rPr>
    </w:pPr>
    <w:r>
      <w:rPr>
        <w:sz w:val="16"/>
      </w:rPr>
    </w:r>
  </w:p>
  <w:p>
    <w:pPr>
      <w:pStyle w:val="Footer"/>
      <w:jc w:val="right"/>
      <w:rPr>
        <w:sz w:val="16"/>
      </w:rPr>
    </w:pPr>
    <w:r>
      <w:rPr>
        <w:sz w:val="16"/>
      </w:rPr>
      <w:t xml:space="preserve">Strona </w:t>
    </w:r>
    <w:r>
      <w:rPr>
        <w:b/>
        <w:sz w:val="16"/>
      </w:rPr>
      <w:fldChar w:fldCharType="begin"/>
    </w:r>
    <w:r>
      <w:rPr>
        <w:sz w:val="16"/>
        <w:b/>
      </w:rPr>
      <w:instrText xml:space="preserve"> PAGE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  <w:r>
      <w:rPr>
        <w:sz w:val="16"/>
      </w:rPr>
      <w:t xml:space="preserve"> z </w:t>
    </w:r>
    <w:r>
      <w:rPr>
        <w:b/>
        <w:sz w:val="16"/>
      </w:rPr>
      <w:fldChar w:fldCharType="begin"/>
    </w:r>
    <w:r>
      <w:rPr>
        <w:sz w:val="16"/>
        <w:b/>
      </w:rPr>
      <w:instrText xml:space="preserve"> NUMPAGES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bullet"/>
      <w:lvlText w:val="□"/>
      <w:lvlJc w:val="center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bullet"/>
      <w:lvlText w:val="□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w="http://schemas.openxmlformats.org/wordprocessingml/2006/main">
  <w:zoom w:percent="130"/>
  <w:embedSystemFonts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pl-PL" w:eastAsia="ja-JP" w:bidi="ar-SA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pl-PL" w:eastAsia="ja-JP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c567b9"/>
    <w:pPr>
      <w:widowControl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eastAsia="pl-PL" w:val="pl-PL" w:bidi="ar-SA"/>
    </w:rPr>
  </w:style>
  <w:style w:type="paragraph" w:styleId="Heading1">
    <w:name w:val="Heading 1"/>
    <w:basedOn w:val="Normal"/>
    <w:next w:val="Normal"/>
    <w:link w:val="Nagwek1Znak"/>
    <w:qFormat/>
    <w:pPr>
      <w:keepNext w:val="true"/>
      <w:outlineLvl w:val="0"/>
    </w:pPr>
    <w:rPr>
      <w:b/>
      <w:bCs/>
    </w:rPr>
  </w:style>
  <w:style w:type="character" w:styleId="DefaultParagraphFont" w:default="1">
    <w:name w:val="Default Paragraph Font"/>
    <w:uiPriority w:val="1"/>
    <w:unhideWhenUsed/>
    <w:qFormat/>
    <w:rPr/>
  </w:style>
  <w:style w:type="character" w:styleId="Hyperlink">
    <w:name w:val="Hyperlink"/>
    <w:uiPriority w:val="99"/>
    <w:unhideWhenUsed/>
    <w:rsid w:val="00ef78c4"/>
    <w:rPr>
      <w:strike w:val="false"/>
      <w:dstrike w:val="false"/>
      <w:color w:val="BE0404"/>
      <w:u w:val="none"/>
      <w:effect w:val="none"/>
    </w:rPr>
  </w:style>
  <w:style w:type="character" w:styleId="Annotationreference">
    <w:name w:val="annotation reference"/>
    <w:uiPriority w:val="99"/>
    <w:semiHidden/>
    <w:unhideWhenUsed/>
    <w:qFormat/>
    <w:rsid w:val="00c02770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Annotationtext"/>
    <w:uiPriority w:val="99"/>
    <w:semiHidden/>
    <w:qFormat/>
    <w:rsid w:val="00c02770"/>
    <w:rPr/>
  </w:style>
  <w:style w:type="character" w:styleId="TematkomentarzaZnak" w:customStyle="1">
    <w:name w:val="Temat komentarza Znak"/>
    <w:link w:val="Annotationsubject"/>
    <w:uiPriority w:val="99"/>
    <w:semiHidden/>
    <w:qFormat/>
    <w:rsid w:val="00c02770"/>
    <w:rPr>
      <w:b/>
      <w:bCs/>
    </w:rPr>
  </w:style>
  <w:style w:type="character" w:styleId="TekstdymkaZnak" w:customStyle="1">
    <w:name w:val="Tekst dymka Znak"/>
    <w:link w:val="BalloonText"/>
    <w:uiPriority w:val="99"/>
    <w:semiHidden/>
    <w:qFormat/>
    <w:rsid w:val="00c02770"/>
    <w:rPr>
      <w:rFonts w:ascii="Tahoma" w:hAnsi="Tahoma" w:cs="Tahoma"/>
      <w:sz w:val="16"/>
      <w:szCs w:val="16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190dc4"/>
    <w:rPr/>
  </w:style>
  <w:style w:type="character" w:styleId="Znakiprzypiswdolnych">
    <w:name w:val="Znaki przypisów dolnych"/>
    <w:uiPriority w:val="99"/>
    <w:semiHidden/>
    <w:unhideWhenUsed/>
    <w:qFormat/>
    <w:rsid w:val="00190dc4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1Znak" w:customStyle="1">
    <w:name w:val="Nagłówek 1 Znak"/>
    <w:qFormat/>
    <w:rsid w:val="00190dc4"/>
    <w:rPr>
      <w:b/>
      <w:bCs/>
      <w:sz w:val="24"/>
      <w:szCs w:val="24"/>
    </w:rPr>
  </w:style>
  <w:style w:type="character" w:styleId="NagwekZnak" w:customStyle="1">
    <w:name w:val="Nagłówek Znak"/>
    <w:uiPriority w:val="99"/>
    <w:qFormat/>
    <w:rsid w:val="00146b7d"/>
    <w:rPr>
      <w:sz w:val="24"/>
      <w:szCs w:val="24"/>
    </w:rPr>
  </w:style>
  <w:style w:type="character" w:styleId="StopkaZnak" w:customStyle="1">
    <w:name w:val="Stopka Znak"/>
    <w:uiPriority w:val="99"/>
    <w:qFormat/>
    <w:rsid w:val="00146b7d"/>
    <w:rPr>
      <w:sz w:val="24"/>
      <w:szCs w:val="24"/>
    </w:rPr>
  </w:style>
  <w:style w:type="character" w:styleId="TekstprzypisukocowegoZnak" w:customStyle="1">
    <w:name w:val="Tekst przypisu końcowego Znak"/>
    <w:basedOn w:val="DefaultParagraphFont"/>
    <w:uiPriority w:val="99"/>
    <w:semiHidden/>
    <w:qFormat/>
    <w:rsid w:val="00942aac"/>
    <w:rPr/>
  </w:style>
  <w:style w:type="character" w:styleId="Znakiprzypiswkocowych">
    <w:name w:val="Znaki przypisów końcowych"/>
    <w:uiPriority w:val="99"/>
    <w:semiHidden/>
    <w:unhideWhenUsed/>
    <w:qFormat/>
    <w:rsid w:val="00942aac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UnresolvedMention">
    <w:name w:val="Unresolved Mention"/>
    <w:uiPriority w:val="99"/>
    <w:semiHidden/>
    <w:unhideWhenUsed/>
    <w:qFormat/>
    <w:rsid w:val="00c162a4"/>
    <w:rPr>
      <w:color w:val="605E5C"/>
      <w:shd w:fill="E1DFDD" w:val="clear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192"/>
    </w:pPr>
    <w:rPr>
      <w:rFonts w:ascii="Arial" w:hAnsi="Arial" w:cs="Arial"/>
      <w:sz w:val="28"/>
      <w:szCs w:val="20"/>
    </w:rPr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Lucida Sans"/>
    </w:rPr>
  </w:style>
  <w:style w:type="paragraph" w:styleId="BodyTextIndent">
    <w:name w:val="Body Text Indent"/>
    <w:basedOn w:val="Normal"/>
    <w:pPr>
      <w:spacing w:lineRule="auto" w:line="192"/>
      <w:ind w:left="360"/>
    </w:pPr>
    <w:rPr>
      <w:rFonts w:ascii="Arial" w:hAnsi="Arial" w:cs="Arial"/>
      <w:sz w:val="28"/>
      <w:szCs w:val="20"/>
    </w:rPr>
  </w:style>
  <w:style w:type="paragraph" w:styleId="NormalWeb">
    <w:name w:val="Normal (Web)"/>
    <w:basedOn w:val="Normal"/>
    <w:uiPriority w:val="99"/>
    <w:qFormat/>
    <w:rsid w:val="00e30deb"/>
    <w:pPr>
      <w:spacing w:beforeAutospacing="1" w:afterAutospacing="1"/>
    </w:pPr>
    <w:rPr/>
  </w:style>
  <w:style w:type="paragraph" w:styleId="Annotationtext">
    <w:name w:val="annotation text"/>
    <w:basedOn w:val="Normal"/>
    <w:link w:val="TekstkomentarzaZnak"/>
    <w:uiPriority w:val="99"/>
    <w:semiHidden/>
    <w:unhideWhenUsed/>
    <w:qFormat/>
    <w:rsid w:val="00c02770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TematkomentarzaZnak"/>
    <w:uiPriority w:val="99"/>
    <w:semiHidden/>
    <w:unhideWhenUsed/>
    <w:qFormat/>
    <w:rsid w:val="00c02770"/>
    <w:pPr/>
    <w:rPr>
      <w:b/>
      <w:bCs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c02770"/>
    <w:pPr/>
    <w:rPr>
      <w:rFonts w:ascii="Tahoma" w:hAnsi="Tahoma"/>
      <w:sz w:val="16"/>
      <w:szCs w:val="16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190dc4"/>
    <w:pPr/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Normal"/>
    <w:link w:val="Nagwek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Footer">
    <w:name w:val="Footer"/>
    <w:basedOn w:val="Normal"/>
    <w:link w:val="Stopka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EndnoteText">
    <w:name w:val="Endnote Text"/>
    <w:basedOn w:val="Normal"/>
    <w:link w:val="TekstprzypisukocowegoZnak"/>
    <w:uiPriority w:val="99"/>
    <w:semiHidden/>
    <w:unhideWhenUsed/>
    <w:rsid w:val="00942aac"/>
    <w:pPr/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3fff7563"/>
    <w:pPr>
      <w:spacing w:before="0" w:after="0"/>
      <w:ind w:left="72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oleObject" Target="embeddings/oleObject1.bin"/><Relationship Id="rId4" Type="http://schemas.openxmlformats.org/officeDocument/2006/relationships/image" Target="media/image2.wmf"/><Relationship Id="rId5" Type="http://schemas.openxmlformats.org/officeDocument/2006/relationships/footer" Target="footer1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Relationship Id="rId11" Type="http://schemas.openxmlformats.org/officeDocument/2006/relationships/customXml" Target="../customXml/item2.xml"/><Relationship Id="rId12" Type="http://schemas.openxmlformats.org/officeDocument/2006/relationships/customXml" Target="../customXml/item3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
</Relationships>
</file>

<file path=customXml/_rels/item3.xml.rels><?xml version="1.0" encoding="UTF-8"?>
<Relationships xmlns="http://schemas.openxmlformats.org/package/2006/relationships"><Relationship Id="rId1" Type="http://schemas.openxmlformats.org/officeDocument/2006/relationships/customXmlProps" Target="itemProps3.xml"/>
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689397B8C4AAF4189A18E80A80654D9" ma:contentTypeVersion="5" ma:contentTypeDescription="Utwórz nowy dokument." ma:contentTypeScope="" ma:versionID="0debe9759c2a2cb343042fd66e72a72b">
  <xsd:schema xmlns:xsd="http://www.w3.org/2001/XMLSchema" xmlns:xs="http://www.w3.org/2001/XMLSchema" xmlns:p="http://schemas.microsoft.com/office/2006/metadata/properties" xmlns:ns2="8c6066ec-3877-49a3-b10c-18a72d7ac718" xmlns:ns3="ddb6f9a8-8ab6-4529-a38f-becb8a5be8a1" targetNamespace="http://schemas.microsoft.com/office/2006/metadata/properties" ma:root="true" ma:fieldsID="0822d46b83362b463dbde8b694a5b118" ns2:_="" ns3:_="">
    <xsd:import namespace="8c6066ec-3877-49a3-b10c-18a72d7ac718"/>
    <xsd:import namespace="ddb6f9a8-8ab6-4529-a38f-becb8a5be8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066ec-3877-49a3-b10c-18a72d7ac7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b6f9a8-8ab6-4529-a38f-becb8a5be8a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796B3-F011-4620-98DC-17FD60367FB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87FAAD-EBB6-4C2E-A962-2EBF78FCC7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6066ec-3877-49a3-b10c-18a72d7ac718"/>
    <ds:schemaRef ds:uri="ddb6f9a8-8ab6-4529-a38f-becb8a5be8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FBFD635-B8F0-4EDC-8663-890509AF6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Application>LibreOffice/7.6.4.1$Windows_X86_64 LibreOffice_project/e19e193f88cd6c0525a17fb7a176ed8e6a3e2aa1</Application>
  <AppVersion>15.0000</AppVersion>
  <Pages>4</Pages>
  <Words>627</Words>
  <Characters>4184</Characters>
  <CharactersWithSpaces>4685</CharactersWithSpaces>
  <Paragraphs>169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2025-02-17T12:00:00Z</dcterms:created>
  <dc:creator>agh</dc:creator>
  <dc:description/>
  <dc:language>pl-PL</dc:language>
  <cp:lastModifiedBy/>
  <cp:lastPrinted>2019-03-28T19:35:00Z</cp:lastPrinted>
  <dcterms:modified xsi:type="dcterms:W3CDTF">2025-02-20T10:45:09Z</dcterms:modified>
  <cp:revision>8</cp:revision>
  <dc:subject/>
  <dc:title>ZARZĄDZENIE REKTORA nr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