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CC027" w14:textId="77777777" w:rsidR="00966395" w:rsidRPr="00670E81" w:rsidRDefault="0001745C" w:rsidP="0001745C">
      <w:pPr>
        <w:spacing w:after="120" w:line="360" w:lineRule="auto"/>
        <w:jc w:val="center"/>
        <w:rPr>
          <w:rFonts w:cstheme="minorHAnsi"/>
          <w:b/>
          <w:sz w:val="20"/>
        </w:rPr>
      </w:pPr>
      <w:r w:rsidRPr="00670E81">
        <w:rPr>
          <w:b/>
          <w:sz w:val="20"/>
          <w:lang w:bidi="en-GB"/>
        </w:rPr>
        <w:t>INFORMATION CLAUSE</w:t>
      </w:r>
    </w:p>
    <w:p w14:paraId="2F0E4E62" w14:textId="3C7B789E" w:rsidR="005E17F4" w:rsidRPr="005E17F4" w:rsidRDefault="005E18D1" w:rsidP="005E17F4">
      <w:pPr>
        <w:spacing w:after="120" w:line="360" w:lineRule="auto"/>
        <w:jc w:val="both"/>
        <w:rPr>
          <w:rFonts w:cstheme="minorHAnsi"/>
          <w:sz w:val="20"/>
          <w:highlight w:val="yellow"/>
        </w:rPr>
      </w:pPr>
      <w:r w:rsidRPr="00670E81">
        <w:rPr>
          <w:sz w:val="20"/>
          <w:lang w:bidi="en-GB"/>
        </w:rPr>
        <w:t>Below is the necessary information regarding the processing of your personal data in accordance with Regulation (EU) 2016/679 of the European Parliament and of the Council of 27 April 2016 on the protection of natural persons with regard to the processing of personal data and on the free movement of such data and repealing Directive 95/46/EC, – hereinafter: the GDPR – in connection with your participation in the scientific conference</w:t>
      </w:r>
      <w:r w:rsidR="00351E4D">
        <w:rPr>
          <w:sz w:val="20"/>
          <w:lang w:bidi="en-GB"/>
        </w:rPr>
        <w:t>,</w:t>
      </w:r>
      <w:r w:rsidRPr="00670E81">
        <w:rPr>
          <w:sz w:val="20"/>
          <w:lang w:bidi="en-GB"/>
        </w:rPr>
        <w:t xml:space="preserve"> </w:t>
      </w:r>
    </w:p>
    <w:p w14:paraId="4B0486B0" w14:textId="4318F225" w:rsidR="0001745C" w:rsidRPr="00670E81" w:rsidRDefault="0001745C" w:rsidP="00793F57">
      <w:pPr>
        <w:spacing w:after="120" w:line="360" w:lineRule="auto"/>
        <w:jc w:val="both"/>
        <w:rPr>
          <w:rFonts w:cstheme="minorHAnsi"/>
          <w:i/>
          <w:sz w:val="20"/>
        </w:rPr>
      </w:pPr>
    </w:p>
    <w:tbl>
      <w:tblPr>
        <w:tblStyle w:val="Tabela-Siatka"/>
        <w:tblW w:w="0" w:type="auto"/>
        <w:tblInd w:w="108" w:type="dxa"/>
        <w:tblLook w:val="04A0" w:firstRow="1" w:lastRow="0" w:firstColumn="1" w:lastColumn="0" w:noHBand="0" w:noVBand="1"/>
      </w:tblPr>
      <w:tblGrid>
        <w:gridCol w:w="1889"/>
        <w:gridCol w:w="3645"/>
        <w:gridCol w:w="4814"/>
      </w:tblGrid>
      <w:tr w:rsidR="00793F57" w14:paraId="64417D9A" w14:textId="77777777" w:rsidTr="00E836AC">
        <w:tc>
          <w:tcPr>
            <w:tcW w:w="1915" w:type="dxa"/>
          </w:tcPr>
          <w:p w14:paraId="07AFE4B5" w14:textId="77777777" w:rsidR="00793F57" w:rsidRPr="003751FC" w:rsidRDefault="00793F57" w:rsidP="003751FC">
            <w:pPr>
              <w:spacing w:line="360" w:lineRule="auto"/>
              <w:jc w:val="center"/>
              <w:rPr>
                <w:rFonts w:cstheme="minorHAnsi"/>
                <w:sz w:val="18"/>
              </w:rPr>
            </w:pPr>
            <w:r w:rsidRPr="003751FC">
              <w:rPr>
                <w:sz w:val="18"/>
                <w:lang w:bidi="en-GB"/>
              </w:rPr>
              <w:t>Who is the Controller of your data?</w:t>
            </w:r>
          </w:p>
        </w:tc>
        <w:tc>
          <w:tcPr>
            <w:tcW w:w="8659" w:type="dxa"/>
            <w:gridSpan w:val="2"/>
          </w:tcPr>
          <w:p w14:paraId="01E5B445" w14:textId="3B349F97" w:rsidR="00793F57" w:rsidRPr="00670E81" w:rsidRDefault="00445E59" w:rsidP="003F7639">
            <w:pPr>
              <w:spacing w:after="120" w:line="360" w:lineRule="auto"/>
              <w:jc w:val="both"/>
              <w:rPr>
                <w:rFonts w:cstheme="minorHAnsi"/>
                <w:sz w:val="20"/>
              </w:rPr>
            </w:pPr>
            <w:r>
              <w:rPr>
                <w:sz w:val="20"/>
                <w:lang w:bidi="en-GB"/>
              </w:rPr>
              <w:t>The Controller of the your personal data is the Pomeranian Medical University in Szczecin, ul. Rybacka 1, 70-204 Szczecin.</w:t>
            </w:r>
          </w:p>
        </w:tc>
      </w:tr>
      <w:tr w:rsidR="00793F57" w14:paraId="24BF6D5F" w14:textId="77777777" w:rsidTr="00E836AC">
        <w:tc>
          <w:tcPr>
            <w:tcW w:w="1915" w:type="dxa"/>
          </w:tcPr>
          <w:p w14:paraId="3F7C622D" w14:textId="77777777" w:rsidR="00793F57" w:rsidRPr="003751FC" w:rsidRDefault="005042BA" w:rsidP="003751FC">
            <w:pPr>
              <w:spacing w:line="360" w:lineRule="auto"/>
              <w:jc w:val="center"/>
              <w:rPr>
                <w:rFonts w:cstheme="minorHAnsi"/>
                <w:sz w:val="18"/>
              </w:rPr>
            </w:pPr>
            <w:r w:rsidRPr="003751FC">
              <w:rPr>
                <w:sz w:val="18"/>
                <w:lang w:bidi="en-GB"/>
              </w:rPr>
              <w:t>Who can you contact?</w:t>
            </w:r>
          </w:p>
        </w:tc>
        <w:tc>
          <w:tcPr>
            <w:tcW w:w="8659" w:type="dxa"/>
            <w:gridSpan w:val="2"/>
          </w:tcPr>
          <w:p w14:paraId="21CF320A" w14:textId="38482AF8" w:rsidR="00793F57" w:rsidRPr="00E828C3" w:rsidRDefault="0064056F" w:rsidP="00E828C3">
            <w:pPr>
              <w:spacing w:after="120" w:line="360" w:lineRule="auto"/>
              <w:jc w:val="both"/>
              <w:rPr>
                <w:rFonts w:cstheme="minorHAnsi"/>
                <w:sz w:val="20"/>
              </w:rPr>
            </w:pPr>
            <w:r w:rsidRPr="006C523D">
              <w:rPr>
                <w:sz w:val="20"/>
                <w:lang w:bidi="en-GB"/>
              </w:rPr>
              <w:t>For all matters related to our processing of your personal data, you can contact the Data Protection Officer by email at iod@pum.edu.pl or by phone at 914800790.</w:t>
            </w:r>
          </w:p>
        </w:tc>
      </w:tr>
      <w:tr w:rsidR="00A05D1D" w14:paraId="7D894410" w14:textId="77777777" w:rsidTr="00E836AC">
        <w:tc>
          <w:tcPr>
            <w:tcW w:w="1915" w:type="dxa"/>
          </w:tcPr>
          <w:p w14:paraId="0E9B575E" w14:textId="27B6949D" w:rsidR="00A05D1D" w:rsidRPr="003751FC" w:rsidRDefault="00A05D1D" w:rsidP="00A05D1D">
            <w:pPr>
              <w:spacing w:line="360" w:lineRule="auto"/>
              <w:jc w:val="center"/>
              <w:rPr>
                <w:rFonts w:cstheme="minorHAnsi"/>
                <w:sz w:val="18"/>
              </w:rPr>
            </w:pPr>
            <w:r w:rsidRPr="003751FC">
              <w:rPr>
                <w:sz w:val="18"/>
                <w:lang w:bidi="en-GB"/>
              </w:rPr>
              <w:t>From where do we have your data?</w:t>
            </w:r>
          </w:p>
        </w:tc>
        <w:tc>
          <w:tcPr>
            <w:tcW w:w="8659" w:type="dxa"/>
            <w:gridSpan w:val="2"/>
          </w:tcPr>
          <w:p w14:paraId="78736226" w14:textId="6F2FD67E" w:rsidR="00A05D1D" w:rsidRPr="006C523D" w:rsidRDefault="00A05D1D" w:rsidP="00A05D1D">
            <w:pPr>
              <w:spacing w:after="120" w:line="360" w:lineRule="auto"/>
              <w:jc w:val="both"/>
              <w:rPr>
                <w:rFonts w:ascii="Calibri" w:hAnsi="Calibri" w:cs="Calibri"/>
                <w:sz w:val="20"/>
              </w:rPr>
            </w:pPr>
            <w:r w:rsidRPr="00670E81">
              <w:rPr>
                <w:sz w:val="20"/>
                <w:lang w:bidi="en-GB"/>
              </w:rPr>
              <w:t>Your personal data has been provided by you or the person who made your application to let you participate in the conference.</w:t>
            </w:r>
          </w:p>
        </w:tc>
      </w:tr>
      <w:tr w:rsidR="00A05D1D" w14:paraId="243A3E59" w14:textId="77777777" w:rsidTr="00E836AC">
        <w:tc>
          <w:tcPr>
            <w:tcW w:w="1915" w:type="dxa"/>
          </w:tcPr>
          <w:p w14:paraId="5B935BE8" w14:textId="5DB5B24C" w:rsidR="00A05D1D" w:rsidRPr="003751FC" w:rsidRDefault="00A05D1D" w:rsidP="00A05D1D">
            <w:pPr>
              <w:spacing w:line="360" w:lineRule="auto"/>
              <w:jc w:val="center"/>
              <w:rPr>
                <w:rFonts w:cstheme="minorHAnsi"/>
                <w:sz w:val="18"/>
              </w:rPr>
            </w:pPr>
            <w:r w:rsidRPr="003751FC">
              <w:rPr>
                <w:sz w:val="18"/>
                <w:lang w:bidi="en-GB"/>
              </w:rPr>
              <w:t>What data do we process?</w:t>
            </w:r>
          </w:p>
        </w:tc>
        <w:tc>
          <w:tcPr>
            <w:tcW w:w="8659" w:type="dxa"/>
            <w:gridSpan w:val="2"/>
          </w:tcPr>
          <w:p w14:paraId="3F39B750" w14:textId="6B586D7A" w:rsidR="00A05D1D" w:rsidRPr="006C523D" w:rsidRDefault="00A05D1D" w:rsidP="00A05D1D">
            <w:pPr>
              <w:spacing w:after="120" w:line="360" w:lineRule="auto"/>
              <w:jc w:val="both"/>
              <w:rPr>
                <w:rFonts w:ascii="Calibri" w:hAnsi="Calibri" w:cs="Calibri"/>
                <w:sz w:val="20"/>
              </w:rPr>
            </w:pPr>
            <w:r w:rsidRPr="00670E81">
              <w:rPr>
                <w:sz w:val="20"/>
                <w:lang w:bidi="en-GB"/>
              </w:rPr>
              <w:t>We process the data indicated specifically in the application form such as your first and last name, specialty, academic year and department of the Pomeranian Medical University, email address, telephone number.</w:t>
            </w:r>
          </w:p>
        </w:tc>
      </w:tr>
      <w:tr w:rsidR="00554EC7" w14:paraId="16BD41D0" w14:textId="77777777" w:rsidTr="00E836AC">
        <w:tc>
          <w:tcPr>
            <w:tcW w:w="1915" w:type="dxa"/>
            <w:vMerge w:val="restart"/>
          </w:tcPr>
          <w:p w14:paraId="18F45939" w14:textId="77777777" w:rsidR="00554EC7" w:rsidRPr="003751FC" w:rsidRDefault="00554EC7" w:rsidP="003751FC">
            <w:pPr>
              <w:spacing w:line="360" w:lineRule="auto"/>
              <w:jc w:val="center"/>
              <w:rPr>
                <w:rFonts w:cstheme="minorHAnsi"/>
                <w:sz w:val="18"/>
                <w:szCs w:val="16"/>
              </w:rPr>
            </w:pPr>
            <w:r w:rsidRPr="003751FC">
              <w:rPr>
                <w:sz w:val="18"/>
                <w:lang w:bidi="en-GB"/>
              </w:rPr>
              <w:t>For what purpose we process your data</w:t>
            </w:r>
          </w:p>
        </w:tc>
        <w:tc>
          <w:tcPr>
            <w:tcW w:w="3720" w:type="dxa"/>
          </w:tcPr>
          <w:p w14:paraId="710F9487" w14:textId="77777777" w:rsidR="00554EC7" w:rsidRPr="005E17F4" w:rsidRDefault="00554EC7" w:rsidP="00793F57">
            <w:pPr>
              <w:spacing w:after="120" w:line="360" w:lineRule="auto"/>
              <w:jc w:val="both"/>
              <w:rPr>
                <w:rFonts w:cstheme="minorHAnsi"/>
                <w:b/>
                <w:sz w:val="20"/>
              </w:rPr>
            </w:pPr>
            <w:r w:rsidRPr="005E17F4">
              <w:rPr>
                <w:b/>
                <w:sz w:val="20"/>
                <w:lang w:bidi="en-GB"/>
              </w:rPr>
              <w:t>Purpose of processing</w:t>
            </w:r>
          </w:p>
        </w:tc>
        <w:tc>
          <w:tcPr>
            <w:tcW w:w="4939" w:type="dxa"/>
          </w:tcPr>
          <w:p w14:paraId="7DC2016A" w14:textId="77777777" w:rsidR="00554EC7" w:rsidRPr="005E17F4" w:rsidRDefault="00554EC7" w:rsidP="00793F57">
            <w:pPr>
              <w:spacing w:after="120" w:line="360" w:lineRule="auto"/>
              <w:jc w:val="both"/>
              <w:rPr>
                <w:rFonts w:cstheme="minorHAnsi"/>
                <w:b/>
                <w:sz w:val="20"/>
              </w:rPr>
            </w:pPr>
            <w:r w:rsidRPr="005E17F4">
              <w:rPr>
                <w:b/>
                <w:sz w:val="20"/>
                <w:lang w:bidi="en-GB"/>
              </w:rPr>
              <w:t>Legal basis</w:t>
            </w:r>
          </w:p>
        </w:tc>
      </w:tr>
      <w:tr w:rsidR="00554EC7" w14:paraId="74212A8F" w14:textId="77777777" w:rsidTr="00E836AC">
        <w:tc>
          <w:tcPr>
            <w:tcW w:w="1915" w:type="dxa"/>
            <w:vMerge/>
          </w:tcPr>
          <w:p w14:paraId="7592773D" w14:textId="77777777" w:rsidR="00554EC7" w:rsidRPr="003751FC" w:rsidRDefault="00554EC7" w:rsidP="003751FC">
            <w:pPr>
              <w:spacing w:line="360" w:lineRule="auto"/>
              <w:jc w:val="both"/>
              <w:rPr>
                <w:rFonts w:cstheme="minorHAnsi"/>
                <w:sz w:val="18"/>
              </w:rPr>
            </w:pPr>
          </w:p>
        </w:tc>
        <w:tc>
          <w:tcPr>
            <w:tcW w:w="3720" w:type="dxa"/>
          </w:tcPr>
          <w:p w14:paraId="0EF56596" w14:textId="2EC17721" w:rsidR="00554EC7" w:rsidRPr="00670E81" w:rsidRDefault="00554EC7" w:rsidP="00793F57">
            <w:pPr>
              <w:spacing w:after="120" w:line="360" w:lineRule="auto"/>
              <w:jc w:val="both"/>
              <w:rPr>
                <w:rFonts w:cstheme="minorHAnsi"/>
                <w:sz w:val="20"/>
              </w:rPr>
            </w:pPr>
            <w:r w:rsidRPr="00670E81">
              <w:rPr>
                <w:sz w:val="20"/>
                <w:lang w:bidi="en-GB"/>
              </w:rPr>
              <w:t>Conclusion and execution of an agreement between the participant and the conference organiser</w:t>
            </w:r>
          </w:p>
        </w:tc>
        <w:tc>
          <w:tcPr>
            <w:tcW w:w="4939" w:type="dxa"/>
          </w:tcPr>
          <w:p w14:paraId="7746D9DF" w14:textId="77777777" w:rsidR="00554EC7" w:rsidRPr="00670E81" w:rsidRDefault="00554EC7" w:rsidP="00793F57">
            <w:pPr>
              <w:spacing w:after="120" w:line="360" w:lineRule="auto"/>
              <w:jc w:val="both"/>
              <w:rPr>
                <w:rFonts w:cstheme="minorHAnsi"/>
                <w:sz w:val="20"/>
              </w:rPr>
            </w:pPr>
            <w:r w:rsidRPr="00670E81">
              <w:rPr>
                <w:sz w:val="20"/>
                <w:lang w:bidi="en-GB"/>
              </w:rPr>
              <w:t>Article 6(1)(b) of the GDPR</w:t>
            </w:r>
          </w:p>
        </w:tc>
      </w:tr>
      <w:tr w:rsidR="00554EC7" w14:paraId="13FBC542" w14:textId="77777777" w:rsidTr="00E836AC">
        <w:tc>
          <w:tcPr>
            <w:tcW w:w="1915" w:type="dxa"/>
            <w:vMerge/>
          </w:tcPr>
          <w:p w14:paraId="376A952E" w14:textId="77777777" w:rsidR="00554EC7" w:rsidRPr="003751FC" w:rsidRDefault="00554EC7" w:rsidP="003751FC">
            <w:pPr>
              <w:spacing w:line="360" w:lineRule="auto"/>
              <w:jc w:val="both"/>
              <w:rPr>
                <w:rFonts w:cstheme="minorHAnsi"/>
                <w:sz w:val="18"/>
              </w:rPr>
            </w:pPr>
          </w:p>
        </w:tc>
        <w:tc>
          <w:tcPr>
            <w:tcW w:w="3720" w:type="dxa"/>
          </w:tcPr>
          <w:p w14:paraId="0EE9C87A" w14:textId="77777777" w:rsidR="00554EC7" w:rsidRPr="00670E81" w:rsidRDefault="00554EC7" w:rsidP="00793F57">
            <w:pPr>
              <w:spacing w:after="120" w:line="360" w:lineRule="auto"/>
              <w:jc w:val="both"/>
              <w:rPr>
                <w:rFonts w:cstheme="minorHAnsi"/>
                <w:sz w:val="20"/>
              </w:rPr>
            </w:pPr>
            <w:r w:rsidRPr="00670E81">
              <w:rPr>
                <w:sz w:val="20"/>
                <w:lang w:bidi="en-GB"/>
              </w:rPr>
              <w:t>Performance of legal obligations e.g. issue of bills or invoices, keeping ledgers</w:t>
            </w:r>
          </w:p>
        </w:tc>
        <w:tc>
          <w:tcPr>
            <w:tcW w:w="4939" w:type="dxa"/>
          </w:tcPr>
          <w:p w14:paraId="39BC9DBA" w14:textId="77777777" w:rsidR="00554EC7" w:rsidRPr="00670E81" w:rsidRDefault="00554EC7" w:rsidP="005C4763">
            <w:pPr>
              <w:spacing w:after="120" w:line="360" w:lineRule="auto"/>
              <w:jc w:val="both"/>
              <w:rPr>
                <w:rFonts w:cstheme="minorHAnsi"/>
                <w:sz w:val="20"/>
              </w:rPr>
            </w:pPr>
            <w:r w:rsidRPr="00670E81">
              <w:rPr>
                <w:sz w:val="20"/>
                <w:lang w:bidi="en-GB"/>
              </w:rPr>
              <w:t>Article 6(1)(c) of the GDPR</w:t>
            </w:r>
          </w:p>
        </w:tc>
      </w:tr>
      <w:tr w:rsidR="00A35B0A" w14:paraId="3DBB04AE" w14:textId="77777777" w:rsidTr="00E836AC">
        <w:tc>
          <w:tcPr>
            <w:tcW w:w="1915" w:type="dxa"/>
            <w:vMerge/>
          </w:tcPr>
          <w:p w14:paraId="6730452B" w14:textId="77777777" w:rsidR="00A35B0A" w:rsidRPr="003751FC" w:rsidRDefault="00A35B0A" w:rsidP="003751FC">
            <w:pPr>
              <w:spacing w:line="360" w:lineRule="auto"/>
              <w:jc w:val="both"/>
              <w:rPr>
                <w:rFonts w:cstheme="minorHAnsi"/>
                <w:sz w:val="18"/>
              </w:rPr>
            </w:pPr>
          </w:p>
        </w:tc>
        <w:tc>
          <w:tcPr>
            <w:tcW w:w="3720" w:type="dxa"/>
          </w:tcPr>
          <w:p w14:paraId="41DA5E69" w14:textId="355F4928" w:rsidR="00A35B0A" w:rsidRPr="00670E81" w:rsidRDefault="00A35B0A" w:rsidP="00793F57">
            <w:pPr>
              <w:spacing w:after="120" w:line="360" w:lineRule="auto"/>
              <w:jc w:val="both"/>
              <w:rPr>
                <w:rFonts w:cstheme="minorHAnsi"/>
                <w:sz w:val="20"/>
              </w:rPr>
            </w:pPr>
            <w:r>
              <w:rPr>
                <w:sz w:val="20"/>
                <w:lang w:bidi="en-GB"/>
              </w:rPr>
              <w:t>Issue of certificates or attestations confirming participation in the conference</w:t>
            </w:r>
          </w:p>
        </w:tc>
        <w:tc>
          <w:tcPr>
            <w:tcW w:w="4939" w:type="dxa"/>
          </w:tcPr>
          <w:p w14:paraId="7164A92D" w14:textId="62981ED1" w:rsidR="00A35B0A" w:rsidRPr="00670E81" w:rsidRDefault="00C441D7" w:rsidP="005C4763">
            <w:pPr>
              <w:spacing w:after="120" w:line="360" w:lineRule="auto"/>
              <w:jc w:val="both"/>
              <w:rPr>
                <w:rFonts w:cstheme="minorHAnsi"/>
                <w:sz w:val="20"/>
              </w:rPr>
            </w:pPr>
            <w:r w:rsidRPr="00670E81">
              <w:rPr>
                <w:sz w:val="20"/>
                <w:lang w:bidi="en-GB"/>
              </w:rPr>
              <w:t>Article 6(1)(b) of the GDPR</w:t>
            </w:r>
          </w:p>
        </w:tc>
      </w:tr>
      <w:tr w:rsidR="00A35B0A" w14:paraId="339D0ECF" w14:textId="77777777" w:rsidTr="00E836AC">
        <w:tc>
          <w:tcPr>
            <w:tcW w:w="1915" w:type="dxa"/>
            <w:vMerge/>
          </w:tcPr>
          <w:p w14:paraId="19FBC3FE" w14:textId="77777777" w:rsidR="00A35B0A" w:rsidRPr="003751FC" w:rsidRDefault="00A35B0A" w:rsidP="003751FC">
            <w:pPr>
              <w:spacing w:line="360" w:lineRule="auto"/>
              <w:jc w:val="both"/>
              <w:rPr>
                <w:rFonts w:cstheme="minorHAnsi"/>
                <w:sz w:val="18"/>
              </w:rPr>
            </w:pPr>
          </w:p>
        </w:tc>
        <w:tc>
          <w:tcPr>
            <w:tcW w:w="3720" w:type="dxa"/>
          </w:tcPr>
          <w:p w14:paraId="6A9A9474" w14:textId="06C0063F" w:rsidR="00A35B0A" w:rsidRPr="00670E81" w:rsidRDefault="00E972FC" w:rsidP="00793F57">
            <w:pPr>
              <w:spacing w:after="120" w:line="360" w:lineRule="auto"/>
              <w:jc w:val="both"/>
              <w:rPr>
                <w:rFonts w:cstheme="minorHAnsi"/>
                <w:sz w:val="20"/>
              </w:rPr>
            </w:pPr>
            <w:r>
              <w:rPr>
                <w:sz w:val="20"/>
                <w:lang w:bidi="en-GB"/>
              </w:rPr>
              <w:t>Contact for organisational purposes</w:t>
            </w:r>
          </w:p>
        </w:tc>
        <w:tc>
          <w:tcPr>
            <w:tcW w:w="4939" w:type="dxa"/>
          </w:tcPr>
          <w:p w14:paraId="473E1449" w14:textId="491375E3" w:rsidR="00A35B0A" w:rsidRPr="00670E81" w:rsidRDefault="00D916A1" w:rsidP="005C4763">
            <w:pPr>
              <w:spacing w:after="120" w:line="360" w:lineRule="auto"/>
              <w:jc w:val="both"/>
              <w:rPr>
                <w:rFonts w:cstheme="minorHAnsi"/>
                <w:sz w:val="20"/>
              </w:rPr>
            </w:pPr>
            <w:r w:rsidRPr="00670E81">
              <w:rPr>
                <w:sz w:val="20"/>
                <w:lang w:bidi="en-GB"/>
              </w:rPr>
              <w:t>Article 6(1)(f) of the GDPR in the framework of the legitimate interest of the controller</w:t>
            </w:r>
          </w:p>
        </w:tc>
      </w:tr>
      <w:tr w:rsidR="00CF7A2E" w14:paraId="7AA2094B" w14:textId="77777777" w:rsidTr="00E836AC">
        <w:tc>
          <w:tcPr>
            <w:tcW w:w="1915" w:type="dxa"/>
            <w:vMerge/>
          </w:tcPr>
          <w:p w14:paraId="02AF2E9B" w14:textId="77777777" w:rsidR="00CF7A2E" w:rsidRPr="003751FC" w:rsidRDefault="00CF7A2E" w:rsidP="003751FC">
            <w:pPr>
              <w:spacing w:line="360" w:lineRule="auto"/>
              <w:jc w:val="both"/>
              <w:rPr>
                <w:rFonts w:cstheme="minorHAnsi"/>
                <w:sz w:val="18"/>
              </w:rPr>
            </w:pPr>
          </w:p>
        </w:tc>
        <w:tc>
          <w:tcPr>
            <w:tcW w:w="3720" w:type="dxa"/>
          </w:tcPr>
          <w:p w14:paraId="159B97B9" w14:textId="2395F636" w:rsidR="00CF7A2E" w:rsidRDefault="00CF7A2E" w:rsidP="00EC6AE5">
            <w:pPr>
              <w:spacing w:after="120" w:line="360" w:lineRule="auto"/>
              <w:jc w:val="both"/>
              <w:rPr>
                <w:rFonts w:cstheme="minorHAnsi"/>
                <w:sz w:val="20"/>
              </w:rPr>
            </w:pPr>
            <w:r>
              <w:rPr>
                <w:sz w:val="20"/>
                <w:lang w:bidi="en-GB"/>
              </w:rPr>
              <w:t xml:space="preserve">Maintenance of the list of participants </w:t>
            </w:r>
          </w:p>
        </w:tc>
        <w:tc>
          <w:tcPr>
            <w:tcW w:w="4939" w:type="dxa"/>
          </w:tcPr>
          <w:p w14:paraId="0D185C85" w14:textId="057321C5" w:rsidR="00CF7A2E" w:rsidRPr="00670E81" w:rsidRDefault="00CF7A2E" w:rsidP="005C4763">
            <w:pPr>
              <w:spacing w:after="120" w:line="360" w:lineRule="auto"/>
              <w:jc w:val="both"/>
              <w:rPr>
                <w:rFonts w:cstheme="minorHAnsi"/>
                <w:sz w:val="20"/>
              </w:rPr>
            </w:pPr>
            <w:r w:rsidRPr="00670E81">
              <w:rPr>
                <w:sz w:val="20"/>
                <w:lang w:bidi="en-GB"/>
              </w:rPr>
              <w:t>Article 6(1)(f) of the GDPR in the framework of the legitimate interest of the controller</w:t>
            </w:r>
          </w:p>
        </w:tc>
      </w:tr>
      <w:tr w:rsidR="00554EC7" w14:paraId="11963D72" w14:textId="77777777" w:rsidTr="00E836AC">
        <w:tc>
          <w:tcPr>
            <w:tcW w:w="1915" w:type="dxa"/>
            <w:vMerge/>
          </w:tcPr>
          <w:p w14:paraId="3CCB42E7" w14:textId="77777777" w:rsidR="00554EC7" w:rsidRPr="003751FC" w:rsidRDefault="00554EC7" w:rsidP="003751FC">
            <w:pPr>
              <w:spacing w:line="360" w:lineRule="auto"/>
              <w:jc w:val="both"/>
              <w:rPr>
                <w:rFonts w:cstheme="minorHAnsi"/>
                <w:sz w:val="18"/>
              </w:rPr>
            </w:pPr>
          </w:p>
        </w:tc>
        <w:tc>
          <w:tcPr>
            <w:tcW w:w="3720" w:type="dxa"/>
          </w:tcPr>
          <w:p w14:paraId="5CD26E29" w14:textId="77777777" w:rsidR="00554EC7" w:rsidRPr="00670E81" w:rsidRDefault="00554EC7" w:rsidP="00793F57">
            <w:pPr>
              <w:spacing w:after="120" w:line="360" w:lineRule="auto"/>
              <w:jc w:val="both"/>
              <w:rPr>
                <w:rFonts w:cstheme="minorHAnsi"/>
                <w:sz w:val="20"/>
              </w:rPr>
            </w:pPr>
            <w:r w:rsidRPr="00670E81">
              <w:rPr>
                <w:sz w:val="20"/>
                <w:lang w:bidi="en-GB"/>
              </w:rPr>
              <w:t>Investigation of possible claims</w:t>
            </w:r>
          </w:p>
        </w:tc>
        <w:tc>
          <w:tcPr>
            <w:tcW w:w="4939" w:type="dxa"/>
          </w:tcPr>
          <w:p w14:paraId="0FD8F75C" w14:textId="77777777" w:rsidR="00554EC7" w:rsidRPr="00670E81" w:rsidRDefault="00554EC7" w:rsidP="009D4499">
            <w:pPr>
              <w:spacing w:after="120" w:line="360" w:lineRule="auto"/>
              <w:jc w:val="both"/>
              <w:rPr>
                <w:rFonts w:cstheme="minorHAnsi"/>
                <w:sz w:val="20"/>
              </w:rPr>
            </w:pPr>
            <w:r w:rsidRPr="00670E81">
              <w:rPr>
                <w:sz w:val="20"/>
                <w:lang w:bidi="en-GB"/>
              </w:rPr>
              <w:t>Article 6(1)(f) of the GDPR in the framework of the legitimate interest of the controller</w:t>
            </w:r>
          </w:p>
        </w:tc>
      </w:tr>
      <w:tr w:rsidR="00554EC7" w14:paraId="56B3BCC7" w14:textId="77777777" w:rsidTr="00E836AC">
        <w:tc>
          <w:tcPr>
            <w:tcW w:w="1915" w:type="dxa"/>
            <w:vMerge/>
          </w:tcPr>
          <w:p w14:paraId="4BBFFAA8" w14:textId="77777777" w:rsidR="00554EC7" w:rsidRPr="003751FC" w:rsidRDefault="00554EC7" w:rsidP="003751FC">
            <w:pPr>
              <w:spacing w:line="360" w:lineRule="auto"/>
              <w:jc w:val="both"/>
              <w:rPr>
                <w:rFonts w:cstheme="minorHAnsi"/>
                <w:sz w:val="18"/>
              </w:rPr>
            </w:pPr>
          </w:p>
        </w:tc>
        <w:tc>
          <w:tcPr>
            <w:tcW w:w="3720" w:type="dxa"/>
          </w:tcPr>
          <w:p w14:paraId="1EFFDA5F" w14:textId="77777777" w:rsidR="00554EC7" w:rsidRPr="00670E81" w:rsidRDefault="004964BC" w:rsidP="00793F57">
            <w:pPr>
              <w:spacing w:after="120" w:line="360" w:lineRule="auto"/>
              <w:jc w:val="both"/>
              <w:rPr>
                <w:rFonts w:cstheme="minorHAnsi"/>
                <w:sz w:val="20"/>
              </w:rPr>
            </w:pPr>
            <w:r>
              <w:rPr>
                <w:sz w:val="20"/>
                <w:lang w:bidi="en-GB"/>
              </w:rPr>
              <w:t>Internal administrative, analytical and statistical purposes</w:t>
            </w:r>
          </w:p>
        </w:tc>
        <w:tc>
          <w:tcPr>
            <w:tcW w:w="4939" w:type="dxa"/>
          </w:tcPr>
          <w:p w14:paraId="58693219" w14:textId="77777777" w:rsidR="00554EC7" w:rsidRPr="00670E81" w:rsidRDefault="00062AE8" w:rsidP="00062AE8">
            <w:pPr>
              <w:spacing w:after="120" w:line="360" w:lineRule="auto"/>
              <w:jc w:val="both"/>
              <w:rPr>
                <w:rFonts w:cstheme="minorHAnsi"/>
                <w:sz w:val="20"/>
              </w:rPr>
            </w:pPr>
            <w:r w:rsidRPr="00670E81">
              <w:rPr>
                <w:sz w:val="20"/>
                <w:lang w:bidi="en-GB"/>
              </w:rPr>
              <w:t>Article 6(1)(f) of the GDPR in the framework of the legitimate interest of the controller</w:t>
            </w:r>
          </w:p>
        </w:tc>
      </w:tr>
      <w:tr w:rsidR="00062AE8" w14:paraId="0EAD80B7" w14:textId="77777777" w:rsidTr="00E836AC">
        <w:tc>
          <w:tcPr>
            <w:tcW w:w="1915" w:type="dxa"/>
          </w:tcPr>
          <w:p w14:paraId="5C934B29" w14:textId="77777777" w:rsidR="00062AE8" w:rsidRPr="003751FC" w:rsidRDefault="005231CC" w:rsidP="003751FC">
            <w:pPr>
              <w:spacing w:line="360" w:lineRule="auto"/>
              <w:jc w:val="center"/>
              <w:rPr>
                <w:rFonts w:cstheme="minorHAnsi"/>
                <w:sz w:val="18"/>
              </w:rPr>
            </w:pPr>
            <w:r w:rsidRPr="003751FC">
              <w:rPr>
                <w:sz w:val="18"/>
                <w:lang w:bidi="en-GB"/>
              </w:rPr>
              <w:t>With whom do we share your data?</w:t>
            </w:r>
          </w:p>
        </w:tc>
        <w:tc>
          <w:tcPr>
            <w:tcW w:w="8659" w:type="dxa"/>
            <w:gridSpan w:val="2"/>
          </w:tcPr>
          <w:p w14:paraId="11321091" w14:textId="77777777" w:rsidR="00EC6AE5" w:rsidRPr="006C523D" w:rsidRDefault="00EC6AE5" w:rsidP="00EC6AE5">
            <w:pPr>
              <w:spacing w:after="120" w:line="360" w:lineRule="auto"/>
              <w:jc w:val="both"/>
              <w:rPr>
                <w:rFonts w:ascii="Calibri" w:hAnsi="Calibri" w:cs="Calibri"/>
                <w:sz w:val="20"/>
              </w:rPr>
            </w:pPr>
            <w:r w:rsidRPr="006C523D">
              <w:rPr>
                <w:sz w:val="20"/>
                <w:lang w:bidi="en-GB"/>
              </w:rPr>
              <w:t>Your personal data may be shared with the following categories of recipients:</w:t>
            </w:r>
          </w:p>
          <w:p w14:paraId="48B23E9A" w14:textId="77777777" w:rsidR="00EC6AE5" w:rsidRDefault="00EC6AE5" w:rsidP="00EC6AE5">
            <w:pPr>
              <w:pStyle w:val="Akapitzlist"/>
              <w:numPr>
                <w:ilvl w:val="0"/>
                <w:numId w:val="1"/>
              </w:numPr>
              <w:spacing w:after="120" w:line="360" w:lineRule="auto"/>
              <w:jc w:val="both"/>
              <w:rPr>
                <w:rFonts w:cs="Calibri"/>
                <w:sz w:val="20"/>
                <w:szCs w:val="20"/>
              </w:rPr>
            </w:pPr>
            <w:r w:rsidRPr="006C523D">
              <w:rPr>
                <w:sz w:val="20"/>
                <w:lang w:bidi="en-GB"/>
              </w:rPr>
              <w:t>entities to whom it must be made available by law;</w:t>
            </w:r>
          </w:p>
          <w:p w14:paraId="39699FD7" w14:textId="77777777" w:rsidR="00EC6AE5" w:rsidRPr="009527D7" w:rsidRDefault="00EC6AE5" w:rsidP="00EC6AE5">
            <w:pPr>
              <w:pStyle w:val="Akapitzlist"/>
              <w:numPr>
                <w:ilvl w:val="0"/>
                <w:numId w:val="1"/>
              </w:numPr>
              <w:spacing w:after="120" w:line="360" w:lineRule="auto"/>
              <w:jc w:val="both"/>
              <w:rPr>
                <w:rFonts w:cs="Calibri"/>
                <w:sz w:val="20"/>
                <w:szCs w:val="20"/>
              </w:rPr>
            </w:pPr>
            <w:r w:rsidRPr="006C523D">
              <w:rPr>
                <w:sz w:val="20"/>
                <w:lang w:bidi="en-GB"/>
              </w:rPr>
              <w:t>entities with whom we work together to fulfil our rights and obligations (providing IT, marketing, legal, debt collection, human resources, accounting, transport, courier and postal services);</w:t>
            </w:r>
          </w:p>
          <w:p w14:paraId="75AD2691" w14:textId="2D8C8418" w:rsidR="00A35B0A" w:rsidRPr="008133E3" w:rsidRDefault="00A35B0A" w:rsidP="00EC6AE5">
            <w:pPr>
              <w:pStyle w:val="Akapitzlist"/>
              <w:spacing w:after="120" w:line="360" w:lineRule="auto"/>
              <w:jc w:val="both"/>
              <w:rPr>
                <w:rFonts w:cstheme="minorHAnsi"/>
                <w:sz w:val="20"/>
              </w:rPr>
            </w:pPr>
          </w:p>
        </w:tc>
      </w:tr>
      <w:tr w:rsidR="00663344" w14:paraId="46D08293" w14:textId="77777777" w:rsidTr="00E836AC">
        <w:tc>
          <w:tcPr>
            <w:tcW w:w="1915" w:type="dxa"/>
          </w:tcPr>
          <w:p w14:paraId="312F9FA8" w14:textId="77777777" w:rsidR="00663344" w:rsidRPr="003751FC" w:rsidRDefault="00796E39" w:rsidP="003751FC">
            <w:pPr>
              <w:spacing w:line="360" w:lineRule="auto"/>
              <w:jc w:val="center"/>
              <w:rPr>
                <w:rFonts w:cstheme="minorHAnsi"/>
                <w:sz w:val="18"/>
              </w:rPr>
            </w:pPr>
            <w:r w:rsidRPr="003751FC">
              <w:rPr>
                <w:sz w:val="18"/>
                <w:lang w:bidi="en-GB"/>
              </w:rPr>
              <w:lastRenderedPageBreak/>
              <w:t>For how long shall we process your data?</w:t>
            </w:r>
          </w:p>
        </w:tc>
        <w:tc>
          <w:tcPr>
            <w:tcW w:w="8659" w:type="dxa"/>
            <w:gridSpan w:val="2"/>
          </w:tcPr>
          <w:p w14:paraId="0B0CCC32" w14:textId="3CE25B95" w:rsidR="00663344" w:rsidRPr="00670E81" w:rsidRDefault="00796E39" w:rsidP="004D4A27">
            <w:pPr>
              <w:spacing w:after="120" w:line="360" w:lineRule="auto"/>
              <w:jc w:val="both"/>
              <w:rPr>
                <w:rFonts w:cstheme="minorHAnsi"/>
                <w:sz w:val="20"/>
              </w:rPr>
            </w:pPr>
            <w:r w:rsidRPr="00670E81">
              <w:rPr>
                <w:sz w:val="20"/>
                <w:lang w:bidi="en-GB"/>
              </w:rPr>
              <w:t>Your personal data shall be processed for the period during which the agreement is performed, as well as until the statute of limitations for claims and the expiry of the document retention period for accounting purposes, for tax purposes and the end of the project evaluation and monitoring period.</w:t>
            </w:r>
          </w:p>
          <w:p w14:paraId="05025DAE" w14:textId="77777777" w:rsidR="004D4A27" w:rsidRPr="00670E81" w:rsidRDefault="00654F8C" w:rsidP="004D4A27">
            <w:pPr>
              <w:spacing w:after="120" w:line="360" w:lineRule="auto"/>
              <w:jc w:val="both"/>
              <w:rPr>
                <w:rFonts w:cstheme="minorHAnsi"/>
                <w:sz w:val="20"/>
              </w:rPr>
            </w:pPr>
            <w:r w:rsidRPr="00670E81">
              <w:rPr>
                <w:sz w:val="20"/>
                <w:lang w:bidi="en-GB"/>
              </w:rPr>
              <w:t>After the last of these periods, your personal data shall be deleted or anonymised by us.</w:t>
            </w:r>
          </w:p>
        </w:tc>
      </w:tr>
      <w:tr w:rsidR="00654F8C" w14:paraId="4E30B567" w14:textId="77777777" w:rsidTr="00E836AC">
        <w:tc>
          <w:tcPr>
            <w:tcW w:w="1915" w:type="dxa"/>
          </w:tcPr>
          <w:p w14:paraId="482E1B3E" w14:textId="77777777" w:rsidR="00654F8C" w:rsidRPr="003751FC" w:rsidRDefault="00681252" w:rsidP="003751FC">
            <w:pPr>
              <w:spacing w:line="360" w:lineRule="auto"/>
              <w:jc w:val="center"/>
              <w:rPr>
                <w:rFonts w:cstheme="minorHAnsi"/>
                <w:sz w:val="18"/>
              </w:rPr>
            </w:pPr>
            <w:r w:rsidRPr="003751FC">
              <w:rPr>
                <w:sz w:val="18"/>
                <w:lang w:bidi="en-GB"/>
              </w:rPr>
              <w:t>What rights do you have in connection with our processing of your personal data?</w:t>
            </w:r>
          </w:p>
        </w:tc>
        <w:tc>
          <w:tcPr>
            <w:tcW w:w="8659" w:type="dxa"/>
            <w:gridSpan w:val="2"/>
          </w:tcPr>
          <w:p w14:paraId="2BD7EB32" w14:textId="77777777" w:rsidR="00054AAA" w:rsidRPr="00670E81" w:rsidRDefault="00681252" w:rsidP="00C7078D">
            <w:pPr>
              <w:spacing w:after="120" w:line="360" w:lineRule="auto"/>
              <w:jc w:val="both"/>
              <w:rPr>
                <w:rFonts w:cstheme="minorHAnsi"/>
                <w:sz w:val="20"/>
              </w:rPr>
            </w:pPr>
            <w:r w:rsidRPr="00670E81">
              <w:rPr>
                <w:sz w:val="20"/>
                <w:lang w:bidi="en-GB"/>
              </w:rPr>
              <w:t>You can exercise the following rights in relation to our processing of your personal data: access to your data, rectification (amendment) of your data, erasure of your data, restriction of processing and data portability. You also have the right to lodge a complaint with a data protection supervisory authority.</w:t>
            </w:r>
          </w:p>
          <w:p w14:paraId="1566B68E" w14:textId="77777777" w:rsidR="00054AAA" w:rsidRPr="00670E81" w:rsidRDefault="00054AAA" w:rsidP="0058118C">
            <w:pPr>
              <w:spacing w:after="120" w:line="360" w:lineRule="auto"/>
              <w:jc w:val="both"/>
              <w:rPr>
                <w:rFonts w:cstheme="minorHAnsi"/>
                <w:sz w:val="20"/>
              </w:rPr>
            </w:pPr>
            <w:r w:rsidRPr="00670E81">
              <w:rPr>
                <w:sz w:val="20"/>
                <w:lang w:bidi="en-GB"/>
              </w:rPr>
              <w:t>Notwithstanding the above rights, you may object to processing carried out under the Controller's legitimate interest or public interest. Your personal data shall be no longer processed for these purposes unless it is demonstrated that there are compelling legitimate grounds in relation to your data which override your interests, rights and freedoms or your data is necessary for the possible establishment, investigation or defence of claims.</w:t>
            </w:r>
          </w:p>
          <w:p w14:paraId="71AE7E50" w14:textId="77777777" w:rsidR="00651691" w:rsidRPr="00670E81" w:rsidRDefault="00651691" w:rsidP="00651691">
            <w:pPr>
              <w:spacing w:after="120" w:line="360" w:lineRule="auto"/>
              <w:jc w:val="both"/>
              <w:rPr>
                <w:rFonts w:cstheme="minorHAnsi"/>
                <w:sz w:val="20"/>
              </w:rPr>
            </w:pPr>
            <w:r w:rsidRPr="00670E81">
              <w:rPr>
                <w:sz w:val="20"/>
                <w:lang w:bidi="en-GB"/>
              </w:rPr>
              <w:t>To ensure that you are entitled to exercise your rights, we may ask you to provide additional information to allow us to identify you.</w:t>
            </w:r>
          </w:p>
        </w:tc>
      </w:tr>
      <w:tr w:rsidR="00651691" w14:paraId="11210A33" w14:textId="77777777" w:rsidTr="00E836AC">
        <w:tc>
          <w:tcPr>
            <w:tcW w:w="1915" w:type="dxa"/>
          </w:tcPr>
          <w:p w14:paraId="3DAC1173" w14:textId="77777777" w:rsidR="00651691" w:rsidRPr="003751FC" w:rsidRDefault="00C97EF8" w:rsidP="003751FC">
            <w:pPr>
              <w:spacing w:line="360" w:lineRule="auto"/>
              <w:jc w:val="center"/>
              <w:rPr>
                <w:rFonts w:cstheme="minorHAnsi"/>
                <w:sz w:val="18"/>
              </w:rPr>
            </w:pPr>
            <w:r w:rsidRPr="003751FC">
              <w:rPr>
                <w:sz w:val="18"/>
                <w:lang w:bidi="en-GB"/>
              </w:rPr>
              <w:t>Is the provision of data mandatory?</w:t>
            </w:r>
          </w:p>
        </w:tc>
        <w:tc>
          <w:tcPr>
            <w:tcW w:w="8659" w:type="dxa"/>
            <w:gridSpan w:val="2"/>
          </w:tcPr>
          <w:p w14:paraId="0D264B3D" w14:textId="2660871E" w:rsidR="00651691" w:rsidRPr="00670E81" w:rsidRDefault="000C64BC" w:rsidP="004D4A27">
            <w:pPr>
              <w:spacing w:after="120" w:line="360" w:lineRule="auto"/>
              <w:jc w:val="both"/>
              <w:rPr>
                <w:rFonts w:cstheme="minorHAnsi"/>
                <w:sz w:val="20"/>
              </w:rPr>
            </w:pPr>
            <w:r>
              <w:rPr>
                <w:sz w:val="20"/>
                <w:lang w:bidi="en-GB"/>
              </w:rPr>
              <w:t>The provision of data is a condition for the conclusion of the agreement and failure to do so may result in the inability to conclude or perform the agreement.</w:t>
            </w:r>
          </w:p>
        </w:tc>
      </w:tr>
      <w:tr w:rsidR="007C26DA" w14:paraId="59183B70" w14:textId="77777777" w:rsidTr="00E836AC">
        <w:tc>
          <w:tcPr>
            <w:tcW w:w="1915" w:type="dxa"/>
          </w:tcPr>
          <w:p w14:paraId="3B91125B" w14:textId="77777777" w:rsidR="007C26DA" w:rsidRPr="003751FC" w:rsidRDefault="007C26DA" w:rsidP="003751FC">
            <w:pPr>
              <w:spacing w:line="360" w:lineRule="auto"/>
              <w:jc w:val="center"/>
              <w:rPr>
                <w:rFonts w:cstheme="minorHAnsi"/>
                <w:sz w:val="18"/>
              </w:rPr>
            </w:pPr>
            <w:r w:rsidRPr="003751FC">
              <w:rPr>
                <w:sz w:val="18"/>
                <w:lang w:bidi="en-GB"/>
              </w:rPr>
              <w:t>What else should you know?</w:t>
            </w:r>
          </w:p>
        </w:tc>
        <w:tc>
          <w:tcPr>
            <w:tcW w:w="8659" w:type="dxa"/>
            <w:gridSpan w:val="2"/>
          </w:tcPr>
          <w:p w14:paraId="0E07B786" w14:textId="352E8383" w:rsidR="00585D36" w:rsidRPr="00670E81" w:rsidRDefault="00D50C0A" w:rsidP="00D916A1">
            <w:pPr>
              <w:spacing w:after="120" w:line="360" w:lineRule="auto"/>
              <w:jc w:val="both"/>
              <w:rPr>
                <w:rFonts w:cstheme="minorHAnsi"/>
                <w:sz w:val="20"/>
              </w:rPr>
            </w:pPr>
            <w:r w:rsidRPr="00D916A1">
              <w:rPr>
                <w:sz w:val="20"/>
                <w:lang w:bidi="en-GB"/>
              </w:rPr>
              <w:t>We shall not transfer your data outside the EEA. We do not make decisions by automated means, i.e. on the basis of automated data analysis.</w:t>
            </w:r>
          </w:p>
        </w:tc>
      </w:tr>
    </w:tbl>
    <w:p w14:paraId="11AD1487" w14:textId="77777777" w:rsidR="00793F57" w:rsidRPr="00793F57" w:rsidRDefault="00793F57" w:rsidP="00793F57">
      <w:pPr>
        <w:spacing w:after="120" w:line="360" w:lineRule="auto"/>
        <w:jc w:val="both"/>
        <w:rPr>
          <w:rFonts w:cstheme="minorHAnsi"/>
        </w:rPr>
      </w:pPr>
    </w:p>
    <w:sectPr w:rsidR="00793F57" w:rsidRPr="00793F57" w:rsidSect="00333934">
      <w:headerReference w:type="even" r:id="rId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E08BB" w14:textId="77777777" w:rsidR="00834202" w:rsidRDefault="00834202" w:rsidP="00CA67EC">
      <w:pPr>
        <w:spacing w:after="0" w:line="240" w:lineRule="auto"/>
      </w:pPr>
      <w:r>
        <w:separator/>
      </w:r>
    </w:p>
  </w:endnote>
  <w:endnote w:type="continuationSeparator" w:id="0">
    <w:p w14:paraId="33F55463" w14:textId="77777777" w:rsidR="00834202" w:rsidRDefault="00834202" w:rsidP="00CA6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588C8" w14:textId="77777777" w:rsidR="00834202" w:rsidRDefault="00834202" w:rsidP="00CA67EC">
      <w:pPr>
        <w:spacing w:after="0" w:line="240" w:lineRule="auto"/>
      </w:pPr>
      <w:r>
        <w:separator/>
      </w:r>
    </w:p>
  </w:footnote>
  <w:footnote w:type="continuationSeparator" w:id="0">
    <w:p w14:paraId="3618B6FD" w14:textId="77777777" w:rsidR="00834202" w:rsidRDefault="00834202" w:rsidP="00CA67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79D7C" w14:textId="77777777" w:rsidR="004707B6" w:rsidRDefault="00834202">
    <w:pPr>
      <w:pStyle w:val="Nagwek"/>
    </w:pPr>
    <w:r>
      <w:rPr>
        <w:noProof/>
        <w:lang w:bidi="en-GB"/>
      </w:rPr>
      <w:pict w14:anchorId="5F4B1A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988107" o:spid="_x0000_s2080" type="#_x0000_t75" style="position:absolute;margin-left:0;margin-top:0;width:63.2pt;height:699.8pt;z-index:-251658752;mso-position-horizontal:center;mso-position-horizontal-relative:margin;mso-position-vertical:center;mso-position-vertical-relative:margin" o:allowincell="f">
          <v:imagedata r:id="rId1" o:title="v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E61F3"/>
    <w:multiLevelType w:val="hybridMultilevel"/>
    <w:tmpl w:val="D35E6F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C3314D6"/>
    <w:multiLevelType w:val="hybridMultilevel"/>
    <w:tmpl w:val="F474C6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defaultTabStop w:val="708"/>
  <w:hyphenationZone w:val="425"/>
  <w:characterSpacingControl w:val="doNotCompress"/>
  <w:hdrShapeDefaults>
    <o:shapedefaults v:ext="edit" spidmax="2081" style="mso-position-horizontal:center;mso-position-horizontal-relative:margin;mso-position-vertical:center;mso-position-vertical-relative:margin" o:allowincell="f"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45C"/>
    <w:rsid w:val="00002D5D"/>
    <w:rsid w:val="0001745C"/>
    <w:rsid w:val="00040110"/>
    <w:rsid w:val="0004128A"/>
    <w:rsid w:val="00054AAA"/>
    <w:rsid w:val="00062AE8"/>
    <w:rsid w:val="000C64BC"/>
    <w:rsid w:val="000D530A"/>
    <w:rsid w:val="000D6E57"/>
    <w:rsid w:val="00100CDE"/>
    <w:rsid w:val="001315B2"/>
    <w:rsid w:val="0015254E"/>
    <w:rsid w:val="00160A9E"/>
    <w:rsid w:val="00195D87"/>
    <w:rsid w:val="001B3EB2"/>
    <w:rsid w:val="001B642F"/>
    <w:rsid w:val="001B7ED7"/>
    <w:rsid w:val="001F3F5E"/>
    <w:rsid w:val="0020746C"/>
    <w:rsid w:val="00227351"/>
    <w:rsid w:val="00242EA4"/>
    <w:rsid w:val="0024640D"/>
    <w:rsid w:val="0025697C"/>
    <w:rsid w:val="00264231"/>
    <w:rsid w:val="0026682E"/>
    <w:rsid w:val="0027087C"/>
    <w:rsid w:val="00283704"/>
    <w:rsid w:val="002C6305"/>
    <w:rsid w:val="002E3CD1"/>
    <w:rsid w:val="0031647B"/>
    <w:rsid w:val="0032321F"/>
    <w:rsid w:val="00333934"/>
    <w:rsid w:val="00351E4D"/>
    <w:rsid w:val="0036096D"/>
    <w:rsid w:val="0036105E"/>
    <w:rsid w:val="003751FC"/>
    <w:rsid w:val="00375B3D"/>
    <w:rsid w:val="0039388C"/>
    <w:rsid w:val="003B6889"/>
    <w:rsid w:val="003C29C3"/>
    <w:rsid w:val="003F7639"/>
    <w:rsid w:val="00417F35"/>
    <w:rsid w:val="00426973"/>
    <w:rsid w:val="00427BCB"/>
    <w:rsid w:val="00437AD5"/>
    <w:rsid w:val="00445E59"/>
    <w:rsid w:val="004707B6"/>
    <w:rsid w:val="00472853"/>
    <w:rsid w:val="00482329"/>
    <w:rsid w:val="004964BC"/>
    <w:rsid w:val="004A16DD"/>
    <w:rsid w:val="004B1CD5"/>
    <w:rsid w:val="004B30BD"/>
    <w:rsid w:val="004B5AA8"/>
    <w:rsid w:val="004D4A27"/>
    <w:rsid w:val="004D75C8"/>
    <w:rsid w:val="004E238E"/>
    <w:rsid w:val="004E5C8D"/>
    <w:rsid w:val="005042BA"/>
    <w:rsid w:val="005231CC"/>
    <w:rsid w:val="00542A89"/>
    <w:rsid w:val="00544DF5"/>
    <w:rsid w:val="00554EC7"/>
    <w:rsid w:val="00557C9C"/>
    <w:rsid w:val="0057021F"/>
    <w:rsid w:val="0058118C"/>
    <w:rsid w:val="00585D36"/>
    <w:rsid w:val="005A2B04"/>
    <w:rsid w:val="005A3C3B"/>
    <w:rsid w:val="005C2DBD"/>
    <w:rsid w:val="005C4763"/>
    <w:rsid w:val="005E17F4"/>
    <w:rsid w:val="005E18D1"/>
    <w:rsid w:val="005F0C5E"/>
    <w:rsid w:val="005F7DE1"/>
    <w:rsid w:val="00602E3E"/>
    <w:rsid w:val="00614EAA"/>
    <w:rsid w:val="006306B4"/>
    <w:rsid w:val="0064056F"/>
    <w:rsid w:val="006428F0"/>
    <w:rsid w:val="00651691"/>
    <w:rsid w:val="00654F8C"/>
    <w:rsid w:val="00663344"/>
    <w:rsid w:val="00670E81"/>
    <w:rsid w:val="00681252"/>
    <w:rsid w:val="006B7FA5"/>
    <w:rsid w:val="006D6DF2"/>
    <w:rsid w:val="006E5036"/>
    <w:rsid w:val="007002E2"/>
    <w:rsid w:val="00716839"/>
    <w:rsid w:val="00726EF0"/>
    <w:rsid w:val="0073685E"/>
    <w:rsid w:val="007375EA"/>
    <w:rsid w:val="007644CC"/>
    <w:rsid w:val="00776809"/>
    <w:rsid w:val="00787D8F"/>
    <w:rsid w:val="00793F57"/>
    <w:rsid w:val="007946D2"/>
    <w:rsid w:val="00796E39"/>
    <w:rsid w:val="00797AD1"/>
    <w:rsid w:val="007A0112"/>
    <w:rsid w:val="007A4FC6"/>
    <w:rsid w:val="007B4AC6"/>
    <w:rsid w:val="007C26DA"/>
    <w:rsid w:val="007C75AC"/>
    <w:rsid w:val="007D428E"/>
    <w:rsid w:val="0080459E"/>
    <w:rsid w:val="008133E3"/>
    <w:rsid w:val="00826A8A"/>
    <w:rsid w:val="00834202"/>
    <w:rsid w:val="00845A55"/>
    <w:rsid w:val="0084771D"/>
    <w:rsid w:val="00857E6A"/>
    <w:rsid w:val="00863235"/>
    <w:rsid w:val="0086435B"/>
    <w:rsid w:val="00871E17"/>
    <w:rsid w:val="008802C1"/>
    <w:rsid w:val="008875FB"/>
    <w:rsid w:val="008C0E8F"/>
    <w:rsid w:val="008C3C7C"/>
    <w:rsid w:val="008F0DEE"/>
    <w:rsid w:val="00945C5A"/>
    <w:rsid w:val="009466EA"/>
    <w:rsid w:val="009509AF"/>
    <w:rsid w:val="00953090"/>
    <w:rsid w:val="00955F39"/>
    <w:rsid w:val="00962294"/>
    <w:rsid w:val="00966395"/>
    <w:rsid w:val="00995201"/>
    <w:rsid w:val="009B3FAE"/>
    <w:rsid w:val="009D4499"/>
    <w:rsid w:val="00A0295C"/>
    <w:rsid w:val="00A05D1D"/>
    <w:rsid w:val="00A07FE6"/>
    <w:rsid w:val="00A1118F"/>
    <w:rsid w:val="00A11A1D"/>
    <w:rsid w:val="00A15AF3"/>
    <w:rsid w:val="00A20F35"/>
    <w:rsid w:val="00A21FE6"/>
    <w:rsid w:val="00A30348"/>
    <w:rsid w:val="00A35B0A"/>
    <w:rsid w:val="00A61C64"/>
    <w:rsid w:val="00A723DC"/>
    <w:rsid w:val="00A82B47"/>
    <w:rsid w:val="00A9088E"/>
    <w:rsid w:val="00A92976"/>
    <w:rsid w:val="00AA02C0"/>
    <w:rsid w:val="00AB3970"/>
    <w:rsid w:val="00AB5302"/>
    <w:rsid w:val="00AF72A9"/>
    <w:rsid w:val="00B13961"/>
    <w:rsid w:val="00B21C4A"/>
    <w:rsid w:val="00B24083"/>
    <w:rsid w:val="00B24326"/>
    <w:rsid w:val="00B307B5"/>
    <w:rsid w:val="00B45D14"/>
    <w:rsid w:val="00B46BB5"/>
    <w:rsid w:val="00B62145"/>
    <w:rsid w:val="00B8695B"/>
    <w:rsid w:val="00BA00FE"/>
    <w:rsid w:val="00BB1423"/>
    <w:rsid w:val="00BB38F9"/>
    <w:rsid w:val="00BB40A5"/>
    <w:rsid w:val="00BE6D94"/>
    <w:rsid w:val="00BF6EFC"/>
    <w:rsid w:val="00C07A86"/>
    <w:rsid w:val="00C12243"/>
    <w:rsid w:val="00C25BC4"/>
    <w:rsid w:val="00C3185E"/>
    <w:rsid w:val="00C441D7"/>
    <w:rsid w:val="00C46FCD"/>
    <w:rsid w:val="00C524AB"/>
    <w:rsid w:val="00C67A85"/>
    <w:rsid w:val="00C7078D"/>
    <w:rsid w:val="00C908AD"/>
    <w:rsid w:val="00C97EF8"/>
    <w:rsid w:val="00CA3F6C"/>
    <w:rsid w:val="00CA67EC"/>
    <w:rsid w:val="00CC15D5"/>
    <w:rsid w:val="00CD4E89"/>
    <w:rsid w:val="00CE5C13"/>
    <w:rsid w:val="00CF7A2E"/>
    <w:rsid w:val="00CF7CFA"/>
    <w:rsid w:val="00D26139"/>
    <w:rsid w:val="00D30953"/>
    <w:rsid w:val="00D50C0A"/>
    <w:rsid w:val="00D71022"/>
    <w:rsid w:val="00D74ACD"/>
    <w:rsid w:val="00D77F05"/>
    <w:rsid w:val="00D86EB3"/>
    <w:rsid w:val="00D916A1"/>
    <w:rsid w:val="00D92AE4"/>
    <w:rsid w:val="00D951F0"/>
    <w:rsid w:val="00DA5082"/>
    <w:rsid w:val="00DB514C"/>
    <w:rsid w:val="00DD42FE"/>
    <w:rsid w:val="00E01E18"/>
    <w:rsid w:val="00E07454"/>
    <w:rsid w:val="00E1489A"/>
    <w:rsid w:val="00E27F2B"/>
    <w:rsid w:val="00E326DE"/>
    <w:rsid w:val="00E828C3"/>
    <w:rsid w:val="00E836AC"/>
    <w:rsid w:val="00E841CA"/>
    <w:rsid w:val="00E972FC"/>
    <w:rsid w:val="00E97F5B"/>
    <w:rsid w:val="00EA56D6"/>
    <w:rsid w:val="00EC6AE5"/>
    <w:rsid w:val="00ED4E24"/>
    <w:rsid w:val="00F0065B"/>
    <w:rsid w:val="00F0178B"/>
    <w:rsid w:val="00F01FBB"/>
    <w:rsid w:val="00F157AC"/>
    <w:rsid w:val="00F32CF7"/>
    <w:rsid w:val="00F5043C"/>
    <w:rsid w:val="00F74E57"/>
    <w:rsid w:val="00F912C4"/>
    <w:rsid w:val="00FA0CAB"/>
    <w:rsid w:val="00FC070D"/>
    <w:rsid w:val="00FC7E68"/>
    <w:rsid w:val="00FD12B0"/>
    <w:rsid w:val="00FE26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81" style="mso-position-horizontal:center;mso-position-horizontal-relative:margin;mso-position-vertical:center;mso-position-vertical-relative:margin" o:allowincell="f" fill="f" fillcolor="white" stroke="f">
      <v:fill color="white" on="f"/>
      <v:stroke on="f"/>
    </o:shapedefaults>
    <o:shapelayout v:ext="edit">
      <o:idmap v:ext="edit" data="1"/>
    </o:shapelayout>
  </w:shapeDefaults>
  <w:decimalSymbol w:val=","/>
  <w:listSeparator w:val=";"/>
  <w14:docId w14:val="2BEEB04E"/>
  <w15:docId w15:val="{CD8A7EBE-686B-4DC3-B478-8D965256C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A67E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A67EC"/>
  </w:style>
  <w:style w:type="paragraph" w:styleId="Stopka">
    <w:name w:val="footer"/>
    <w:basedOn w:val="Normalny"/>
    <w:link w:val="StopkaZnak"/>
    <w:uiPriority w:val="99"/>
    <w:unhideWhenUsed/>
    <w:rsid w:val="00CA67E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A67EC"/>
  </w:style>
  <w:style w:type="paragraph" w:styleId="Tekstdymka">
    <w:name w:val="Balloon Text"/>
    <w:basedOn w:val="Normalny"/>
    <w:link w:val="TekstdymkaZnak"/>
    <w:uiPriority w:val="99"/>
    <w:semiHidden/>
    <w:unhideWhenUsed/>
    <w:rsid w:val="00CA67E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A67EC"/>
    <w:rPr>
      <w:rFonts w:ascii="Tahoma" w:hAnsi="Tahoma" w:cs="Tahoma"/>
      <w:sz w:val="16"/>
      <w:szCs w:val="16"/>
    </w:rPr>
  </w:style>
  <w:style w:type="table" w:styleId="Tabela-Siatka">
    <w:name w:val="Table Grid"/>
    <w:basedOn w:val="Standardowy"/>
    <w:uiPriority w:val="59"/>
    <w:rsid w:val="00793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4E57"/>
    <w:pPr>
      <w:autoSpaceDE w:val="0"/>
      <w:autoSpaceDN w:val="0"/>
      <w:adjustRightInd w:val="0"/>
      <w:spacing w:after="0" w:line="240" w:lineRule="auto"/>
    </w:pPr>
    <w:rPr>
      <w:rFonts w:ascii="Arial" w:hAnsi="Arial" w:cs="Arial"/>
      <w:color w:val="000000"/>
      <w:sz w:val="24"/>
      <w:szCs w:val="24"/>
    </w:rPr>
  </w:style>
  <w:style w:type="character" w:styleId="Odwoaniedokomentarza">
    <w:name w:val="annotation reference"/>
    <w:basedOn w:val="Domylnaczcionkaakapitu"/>
    <w:uiPriority w:val="99"/>
    <w:semiHidden/>
    <w:unhideWhenUsed/>
    <w:rsid w:val="00953090"/>
    <w:rPr>
      <w:sz w:val="16"/>
      <w:szCs w:val="16"/>
    </w:rPr>
  </w:style>
  <w:style w:type="paragraph" w:styleId="Tekstkomentarza">
    <w:name w:val="annotation text"/>
    <w:basedOn w:val="Normalny"/>
    <w:link w:val="TekstkomentarzaZnak"/>
    <w:uiPriority w:val="99"/>
    <w:semiHidden/>
    <w:unhideWhenUsed/>
    <w:rsid w:val="0095309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53090"/>
    <w:rPr>
      <w:sz w:val="20"/>
      <w:szCs w:val="20"/>
    </w:rPr>
  </w:style>
  <w:style w:type="paragraph" w:styleId="Tematkomentarza">
    <w:name w:val="annotation subject"/>
    <w:basedOn w:val="Tekstkomentarza"/>
    <w:next w:val="Tekstkomentarza"/>
    <w:link w:val="TematkomentarzaZnak"/>
    <w:uiPriority w:val="99"/>
    <w:semiHidden/>
    <w:unhideWhenUsed/>
    <w:rsid w:val="00953090"/>
    <w:rPr>
      <w:b/>
      <w:bCs/>
    </w:rPr>
  </w:style>
  <w:style w:type="character" w:customStyle="1" w:styleId="TematkomentarzaZnak">
    <w:name w:val="Temat komentarza Znak"/>
    <w:basedOn w:val="TekstkomentarzaZnak"/>
    <w:link w:val="Tematkomentarza"/>
    <w:uiPriority w:val="99"/>
    <w:semiHidden/>
    <w:rsid w:val="00953090"/>
    <w:rPr>
      <w:b/>
      <w:bCs/>
      <w:sz w:val="20"/>
      <w:szCs w:val="20"/>
    </w:rPr>
  </w:style>
  <w:style w:type="paragraph" w:styleId="Akapitzlist">
    <w:name w:val="List Paragraph"/>
    <w:basedOn w:val="Normalny"/>
    <w:uiPriority w:val="34"/>
    <w:qFormat/>
    <w:rsid w:val="002569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Tanski\AppData\Roaming\Microsoft\Szablony\Pusty.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E6A56-9E5F-4D82-884C-241DA50D4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Pusty</Template>
  <TotalTime>3</TotalTime>
  <Pages>2</Pages>
  <Words>613</Words>
  <Characters>3679</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RODO</dc:creator>
  <cp:lastModifiedBy>Czerniakowski Cezary</cp:lastModifiedBy>
  <cp:revision>3</cp:revision>
  <cp:lastPrinted>2016-05-13T14:19:00Z</cp:lastPrinted>
  <dcterms:created xsi:type="dcterms:W3CDTF">2025-01-14T08:21:00Z</dcterms:created>
  <dcterms:modified xsi:type="dcterms:W3CDTF">2025-01-17T11:15:00Z</dcterms:modified>
</cp:coreProperties>
</file>